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66675D" Type="http://schemas.openxmlformats.org/officeDocument/2006/relationships/officeDocument" Target="/word/document.xml" /><Relationship Id="coreR3966675D" Type="http://schemas.openxmlformats.org/package/2006/relationships/metadata/core-properties" Target="/docProps/core.xml" /><Relationship Id="customR3966675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89"/>
        <w:jc w:val="both"/>
        <w:rPr>
          <w:rStyle w:val="C3"/>
          <w:rFonts w:ascii="黑体" w:hAnsi="黑体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黑体" w:hAnsi="黑体"/>
          <w:sz w:val="32"/>
        </w:rPr>
      </w:pP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湖北省人民代表大会常务委员会</w:t>
      </w:r>
    </w:p>
    <w:p>
      <w:pPr>
        <w:pStyle w:val="P1"/>
        <w:spacing w:lineRule="exact" w:line="589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关于耕地占用税具体适用税额标准的决定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9"/>
        <w:ind w:firstLine="0" w:left="630" w:right="63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日湖北省第十三届人民代表大会常务委员会第十次会议通过）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为合理利用土地资源，加强土地管理，保护耕地，根据《中华人民共和国耕地占用税法》第四条、第五条、第十二条规定，结合我省人均耕地面积和经济发展等情况，作出以下决定：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各地区耕地占用税适用税额为：江岸区、江汉区、硚口区、汉阳区、武昌区、青山区、洪山区、黄石港区、西塞山区、下陆区、铁山区、茅箭区、张湾区、樊城区、鄂城区、黄州区、西陵区、伍家岗区、点军区、猇亭区，每平方米四十五元；东西湖区、大冶市、襄城区、咸安区、汉南区、蔡甸区、江夏区、黄陂区、新洲区、沙市区、荆州区、梁子湖区、华容区、东宝区、掇刀区、孝南区、云梦县、曾都区、武穴市，每平方米三十五元；阳新县、公安县、监利县、襄州区、老河口市、枣阳市、宜城市、京山市、沙洋县、钟祥市、孝昌县、大悟县、应城市、安陆市、汉川市、浠水县、蕲春县、石首市、洪湖市、松滋市、夷陵区、宜都市、当阳市、枝江市、随县、广水市、黄梅县、麻城市、嘉鱼县、恩施市、天门市、仙桃市、潜江市，每平方米三十元；郧阳区、郧西县、竹山县、竹溪县、房县、丹江口市、南漳县、谷城县、保康县、团风县、红安县、罗田县、英山县、江陵县、远安县、兴山县、秭归县、长阳土家族自治县、五峰土家族自治县、通城县、崇阳县、通山县、赤壁市、利川市、建始县、巴东县、宣恩县、咸丰县、来凤县、鹤峰县、神农架林区，每平方米二十二元。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对人均耕地面积低于零点五亩的地区不再加成征收耕地占用税。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对占用其他农用地的，比照占用耕地适用税额征收耕地占用税。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四、</w:t>
      </w:r>
      <w:r>
        <w:rPr>
          <w:rStyle w:val="C3"/>
          <w:rFonts w:ascii="Microsoft YaHei UI" w:hAnsi="Microsoft YaHei UI"/>
          <w:sz w:val="32"/>
        </w:rPr>
        <w:t>本决定自</w:t>
      </w:r>
      <w:r>
        <w:rPr>
          <w:rStyle w:val="C3"/>
          <w:rFonts w:ascii="仿宋_GB2312" w:hAnsi="仿宋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89"/>
        <w:jc w:val="both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1871" w:bottom="1871" w:header="851" w:footer="1644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4388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388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jc w:val="right"/>
                            <w:rPr>
                              <w:rStyle w:val="C3"/>
                              <w:sz w:val="1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20828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444.4pt;height:144pt;z-index:2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style="mso-fit-shape-to-text:t" inset="0mm,0mm,6mm,0mm">
                <w:txbxContent>
                  <w:p>
                    <w:pPr>
                      <w:pStyle w:val="P1"/>
                      <w:jc w:val="right"/>
                      <w:rPr>
                        <w:rStyle w:val="C3"/>
                        <w:sz w:val="1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5628005" cy="230505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8005" cy="2305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20828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443.15pt;height:18.15pt;z-index:1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inset="6mm,0mm,0mm,0mm">
                <w:txbxContent>
                  <w:p>
                    <w:pPr>
                      <w:pStyle w:val="P1"/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Char Char Char Char Char Char Char"/>
    <w:basedOn w:val="P1"/>
    <w:next w:val="P4"/>
    <w:link w:val="C3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4"/>
    <w:qFormat/>
    <w:rPr/>
  </w:style>
  <w:style w:type="character" w:styleId="C4">
    <w:name w:val="font71"/>
    <w:basedOn w:val="C3"/>
    <w:qFormat/>
    <w:rPr>
      <w:rFonts w:ascii="仿宋_GB2312" w:hAnsi="仿宋_GB2312"/>
      <w:color w:val="000000"/>
      <w:sz w:val="24"/>
      <w:u w:val="none"/>
    </w:rPr>
  </w:style>
  <w:style w:type="character" w:styleId="C5">
    <w:name w:val="font51"/>
    <w:basedOn w:val="C3"/>
    <w:qFormat/>
    <w:rPr>
      <w:rFonts w:ascii="仿宋_GB2312" w:hAnsi="仿宋_GB2312"/>
      <w:color w:val="000000"/>
      <w:sz w:val="24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2018-07-30T01:46:00Z</dcterms:created>
  <cp:lastModifiedBy>f1TZOF\f1TZOF-</cp:lastModifiedBy>
  <cp:lastPrinted>2019-08-06T08:19:00Z</cp:lastPrinted>
  <dcterms:modified xsi:type="dcterms:W3CDTF">2024-08-28T01:37:20Z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2052-10.8.0.5715</vt:lpwstr>
  </property>
</Properties>
</file>