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A94040" Type="http://schemas.openxmlformats.org/officeDocument/2006/relationships/officeDocument" Target="/word/document.xml" /><Relationship Id="coreR7CA94040" Type="http://schemas.openxmlformats.org/package/2006/relationships/metadata/core-properties" Target="/docProps/core.xml" /><Relationship Id="customR7CA940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吉林省民用建筑节能与发展新型墙体材料条例</w:t>
      </w:r>
    </w:p>
    <w:p>
      <w:pPr>
        <w:pStyle w:val="P1"/>
        <w:ind w:firstLine="0" w:left="0" w:right="0"/>
        <w:jc w:val="center"/>
        <w:rPr>
          <w:rStyle w:val="C3"/>
          <w:rFonts w:ascii="宋体" w:hAnsi="宋体"/>
          <w:b w:val="1"/>
          <w:sz w:val="36"/>
        </w:rPr>
      </w:pPr>
    </w:p>
    <w:p>
      <w:pPr>
        <w:pStyle w:val="P1"/>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日吉林省第十三届人民代表大会常务委员会第八次会议《吉林省人民代表大会常务委员会关于废止和修改〈吉林省农业环境保护管理条例〉等</w:t>
      </w:r>
      <w:r>
        <w:rPr>
          <w:rStyle w:val="C3"/>
          <w:rFonts w:ascii="楷体_GB2312" w:hAnsi="楷体_GB2312"/>
          <w:sz w:val="32"/>
        </w:rPr>
        <w:t>12</w:t>
      </w:r>
      <w:r>
        <w:rPr>
          <w:rStyle w:val="C3"/>
          <w:rFonts w:ascii="Microsoft YaHei UI" w:hAnsi="Microsoft YaHei UI"/>
          <w:sz w:val="32"/>
        </w:rPr>
        <w:t>部地方性法规的决定》修改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日吉林省第十三届人民代表大会第三十次会议《吉林省人民代表大会常务委员会关于修改和废止部分地方性法规的决定》修改）</w:t>
      </w:r>
    </w:p>
    <w:p>
      <w:pPr>
        <w:pStyle w:val="P1"/>
        <w:ind w:hanging="160" w:left="580" w:right="353"/>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Pr>
      </w:pPr>
      <w:r>
        <w:rPr>
          <w:rStyle w:val="C3"/>
          <w:rFonts w:ascii="楷体_GB2312" w:hAnsi="楷体_GB2312"/>
          <w:sz w:val="3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4"/>
          <w:rFonts w:ascii="Microsoft YaHei UI" w:hAnsi="Microsoft YaHei UI"/>
          <w:color w:val="auto"/>
          <w:sz w:val="32"/>
        </w:rPr>
        <w:t>第二章　民</w:t>
      </w:r>
      <w:r>
        <w:rPr>
          <w:rStyle w:val="C4"/>
          <w:rFonts w:ascii="楷体_GB2312" w:hAnsi="楷体_GB2312"/>
          <w:color w:val="auto"/>
          <w:sz w:val="32"/>
        </w:rPr>
        <w:fldChar w:fldCharType="end"/>
      </w:r>
      <w:r>
        <w:rPr>
          <w:rStyle w:val="C3"/>
          <w:rFonts w:ascii="Microsoft YaHei UI" w:hAnsi="Microsoft YaHei UI"/>
          <w:sz w:val="32"/>
        </w:rPr>
        <w:t>用建筑节能</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sz w:val="32"/>
        </w:rPr>
        <w:fldChar w:fldCharType="separate"/>
      </w:r>
      <w:r>
        <w:rPr>
          <w:rStyle w:val="C4"/>
          <w:rFonts w:ascii="Microsoft YaHei UI" w:hAnsi="Microsoft YaHei UI"/>
          <w:color w:val="auto"/>
          <w:sz w:val="32"/>
        </w:rPr>
        <w:t>第三章　发</w:t>
      </w:r>
      <w:r>
        <w:rPr>
          <w:rStyle w:val="C4"/>
          <w:rFonts w:ascii="楷体_GB2312" w:hAnsi="楷体_GB2312"/>
          <w:color w:val="auto"/>
          <w:sz w:val="32"/>
        </w:rPr>
        <w:fldChar w:fldCharType="end"/>
      </w:r>
      <w:r>
        <w:rPr>
          <w:rStyle w:val="C3"/>
          <w:rFonts w:ascii="Microsoft YaHei UI" w:hAnsi="Microsoft YaHei UI"/>
          <w:sz w:val="32"/>
        </w:rPr>
        <w:t>展新型墙体材料</w:t>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4"/>
          <w:rFonts w:ascii="Microsoft YaHei UI" w:hAnsi="Microsoft YaHei UI"/>
          <w:color w:val="auto"/>
          <w:sz w:val="32"/>
        </w:rPr>
        <w:t>第四章　法律责任</w:t>
      </w:r>
      <w:r>
        <w:rPr>
          <w:rStyle w:val="C4"/>
          <w:rFonts w:ascii="楷体_GB2312" w:hAnsi="楷体_GB2312"/>
          <w:color w:val="auto"/>
          <w:sz w:val="32"/>
        </w:rPr>
        <w:fldChar w:fldCharType="end"/>
      </w:r>
    </w:p>
    <w:p>
      <w:pPr>
        <w:pStyle w:val="P1"/>
        <w:ind w:firstLine="630"/>
        <w:rPr>
          <w:rStyle w:val="C3"/>
          <w:rFonts w:ascii="楷体_GB2312" w:hAnsi="楷体_GB2312"/>
        </w:rPr>
      </w:pPr>
      <w:r>
        <w:rPr>
          <w:rStyle w:val="C3"/>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4"/>
          <w:rFonts w:ascii="Microsoft YaHei UI" w:hAnsi="Microsoft YaHei UI"/>
          <w:color w:val="auto"/>
          <w:sz w:val="32"/>
        </w:rPr>
        <w:t>第五章　附则</w:t>
      </w:r>
      <w:r>
        <w:rPr>
          <w:rStyle w:val="C4"/>
          <w:rFonts w:ascii="楷体_GB2312" w:hAnsi="楷体_GB2312"/>
          <w:color w:val="auto"/>
          <w:sz w:val="32"/>
        </w:rPr>
        <w:fldChar w:fldCharType="end"/>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第一章  总则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为了降低民用建筑能源消耗，发展新型墙体材料，节约土地和保护生态环境，根据有关法律、法规的规定，结合本省实际，制定本条例。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本省行政区域内从事民用建筑节能与发展新型墙体材料的活动适用本条例。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本条例所称民用建筑节能，是指居住建筑、国家机关办公建筑和商业、服务业、教育、卫生等其他公共建筑在保证其使用功能和室内热环境质量的前提下，降低其使用过程中能源消耗的活动。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本条例所称新型墙体材料，是指以非粘土为原料生产的，具有节约土地、保护环境、合理利用资源以及坚固、耐用、安全等特性，并符合国家及省新型墙体材料目录的墙体材料。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县级以上人民政府住房和城乡建设主管部门负责本行政区域内民用建筑节能与发展新型墙体材料的监督管理。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县级以上人民政府住房和城乡建设主管部门可以委托其所属的建筑节能与墙材革新管理机构具体负责日常管理工作。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各级建筑节能与墙材革新管理机构履行职责所必需的工作经费，由同级财政部门纳入财政预算。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县级以上人民政府其他有关部门应当在各自职责范围内，依法做好同民用建筑节能与发展新型墙体材料有关的工作。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县级以上人民政府住房和城乡建设主管部门应当组织编制民用建筑节能与发展新型墙体材料的专项规划，报本级人民政府批准后实施。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做好民用建筑节能与发展新型墙体材料知识的宣传教育工作，培育民用建筑节能产品与新型墙体材料市场，健全民用建筑节能与发展新型墙体材料服务体系，推动民用建筑节能与发展新型墙体材料技术的开发应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县级以上人民政府应当鼓励建设、设计、施工等单位在建筑工程中使用民用建筑节能与新型墙体材料，对符合专项规划的建设项目，应当在立项用地、资金等方面予以优先安排。鼓励科研机构、高等院校、生产企业等进行民用建筑节能与新型墙体材料的研究、开发与科研成果的转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城市和镇应当分期分批推进民用建筑节能与新型墙体材料应用，农村逐步推进民用建筑节能与新型墙体材料应用。具体期限、批次和步骤按照国家和省规定执行。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省住房和城乡建设主管部门应当严格按照国家有关规定，组织编制符合本省实际的民用建筑节能与新型墙体材料的设计标准、施工技术规范、通用图集和验收标准。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企业生产新研发的民用建筑节能产品与新型墙体材料应当符合国家和省规定的标准。尚无国家标准、行业标准及地方标准的，应当制定企业标准，企业标准应当符合环境保护和人身安全的要求，并报市场监督管理主管部门、住房和城乡建设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推广使用民用建筑节能与新型墙体材料的新技术、新工艺、新材料和新设备，限制使用或者禁止使用能源消耗高的技术、工艺、材料和设备。省住房和城乡建设主管部门应当及时调整并公布推广使用、限制使用、禁止使用目录。</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建设、设计、施工等单位不得在建筑活动中使用列入禁止使用目录的技术、工艺、材料和设备。</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对在民用建筑节能与发展新型墙体材料工作中做出显著成绩的单位或者个人，应当给予表彰和奖励。</w:t>
      </w:r>
    </w:p>
    <w:p>
      <w:pPr>
        <w:pStyle w:val="P1"/>
        <w:ind w:firstLine="640"/>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第二章  民用建筑节能</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县级以上人民政府应当安排民用建筑节能资金，用于支持民用建筑节能的科学技术研究和标准制定、既有建筑围护结构和供热系统的节能改造、可再生能源的应用以及民用建筑节能示范工程、节能项目的推广。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政府应当引导金融机构支持既有建筑节能改造、可再生能源应用，以及民用建筑节能示范工程等项目。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民用建筑节能项目依法享受税收优惠。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新建、改建、扩建民用建筑应当执行国家的民用建筑节能强制性标准。对不符合民用建筑节能强制性标准的，不得颁发建设工程规划许可证。鼓励采用推荐性标准。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建设单位不得明示或者暗示设计单位、施工单位违反民用建筑节能强制性标准进行设计、施工，不得明示或者暗示施工单位使用不符合施工图设计文件要求的墙体材料、保温系统材料、门窗、采暖制冷系统和照明设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按照合同约定由建设单位采购的墙体材料、保温系统材料、门窗、采暖制冷系统和照明设备，应当符合施工图设计文件要求。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设计、施工、工程监理单位及其注册执业人员应当按照民用建筑节能强制性标准进行设计、施工和监理。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施工图设计文件审查机构应当按照民用建筑节能强制性标准进行施工图设计文件审查，并在审查报告中说明民用建筑节能审查情况；对不符合民用建筑节能强制性标准的，不予通过，住房和城乡建设主管部门不得颁发施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经审查合格的施工图设计文件不得擅自变更，确需变更民用建筑节能设计的，建设单位应当重新履行施工图设计文件审查程序。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施工单位应当按照审查合格的民用建筑节能设计文件和技术规范施工；对进入施工现场的建筑节能材料、产品、设备进行查验，不符合施工图设计文件要求的，不得使用。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工程监理单位应当履行以下职责：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（一）发现施工单位不按照建筑节能强制性标准和规范施工的，应当要求施工单位改正；施工单位拒不改正的，工程监理单位应当及时报告建设单位，并向工程所在地的住房和城乡建设主管部门报告；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（二）墙体、屋面的保温工程施工时，监理工程师应当按照工程监理规范的要求，采取旁站、巡视和平行检验等形式实施监理；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（三）未经监理工程师签字，墙体材料、保温系统材料、门窗、采暖制冷系统、照明设备及其他与建筑节能有关的材料和设备不得在建筑工程中使用或者安装，施工单位不得进行下道工序的施工。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建设单位在实施建筑工程保温体系隐蔽工程前，应当组织设计、施工、监理等单位按照民用建筑节能工程施工质量验收规范分部验收。民用建筑节能分部工程验收合格证明作为单位工程竣工验收的依据之一。</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对具备可再生能源利用条件的建筑，建设单位应当选择可再生能源，用于采暖、制冷、照明和热水供应等；设计单位应当按照可再生能源利用的标准进行设计。</w:t>
      </w:r>
    </w:p>
    <w:p>
      <w:pPr>
        <w:pStyle w:val="P1"/>
        <w:rPr>
          <w:rStyle w:val="C3"/>
          <w:rFonts w:ascii="仿宋_GB2312" w:hAnsi="仿宋_GB2312"/>
          <w:sz w:val="32"/>
        </w:rPr>
      </w:pPr>
      <w:r>
        <w:rPr>
          <w:rStyle w:val="C3"/>
          <w:rFonts w:ascii="Microsoft YaHei UI" w:hAnsi="Microsoft YaHei UI"/>
          <w:sz w:val="32"/>
        </w:rPr>
        <w:t>可再生能源利用设施的建设，应当与建筑主体工程同步设计、同步施工、同步验收。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新建建筑和进行节能改造的既有建筑应当按照规定安装供热计量装置、室内温度与供热系统调控装置。具备条件的，逐步实行按用热量计量收费。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组织有关部门对本行政区域内国家投资的既有建筑的建设年代、结构形式、用能系统、能源消耗指标、寿命周期等进行调查统计和分析，制定节能改造计划，经本级人民政府批准后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对既有建筑在进行扩建、改建及外形结构维修、用能系统更新时，所有权人或者使用人应当按照民用建筑节能强制性标准同时进行节能改造和供热计量改造。</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既有民用建筑节能改造应当优先考虑大型公共建筑。</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国家机关办公建筑的节能改造费用，纳入本级财政预算。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居住建筑和教育、科学、文化、卫生、体育等公益事业使用的公共建筑节能改造费用，由政府、建筑所有权人共同负担。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鼓励社会资金投资既有民用建筑节能改造。投资人可以按照协议的约定分享节能改造产生的收益。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国家机关办公建筑和大型公共建筑以及国家投资的既有居住建筑实施节能改造后，所有权人应当委托具有相应资质的民用建筑节能测评机构进行能耗测评。不符合民用建筑节能强制性标准的，应当进行整改。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房地产开发企业应当将商品房的能耗指标、节能措施以及保护要求、节能工程保修期等基本信息予以公示，并在商品房买卖合同和住宅使用说明书中予以载明。</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省住房和城乡建设主管部门应当会同相关部门制定公共建筑的能源消耗定额管理办法，报省人民政府批准后公布实施。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采暖制冷系统和照明设备等运行管理单位应当保证建筑物用能系统的运行符合国家和省标准。对未达到标准的，应当进行整改。</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第三章  发展新型墙体材料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县级以上人民政府应当对于列入推广使用目录的新型墙体材料项目给予政策、资金方面的支持。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在国家和省规定禁止使用粘土砖的区域内，不得在建筑工程及其附属设施中使用粘土砖。列入历史文化保护的古遗址、古建筑修缮除外。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在禁止使用粘土砖的区域内，相关单位应当遵守下列规定：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（一）建设单位不得要求设计单位、施工单位使用粘土砖；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（二）设计单位应当根据国家和省禁止使用粘土砖的规定进行设计；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（三）施工图设计文件审查机构不得通过违反规定采用粘土砖的施工图设计文件；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（四）施工单位应当采用经审查通过的施工图设计文件中要求的墙体材料进行施工；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（五）工程监理单位应当按照国家和省禁止使用粘土砖的有关规定实施监理；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（六）建设单位在建筑工程竣工后，应当将新型墙体材料使用情况表报送工程所在地住房和城乡建设主管部门。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在禁止使用粘土砖区域外使用政府性资金或者国债资金的建筑工程项目，应当采用新型墙体材料。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禁止新建、扩建、改建粘土砖生产项目。</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第四章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县级以上人民政府有关部门违反本条例规定有下列情形之一的，对负有责任的主管人员和其他直接责任人员依法给予处分；构成犯罪的，依法追究刑事责任：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（一）对设计方案不符合民用建筑节能强制性标准的民用建筑项目颁发建设工程规划许可证的；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（二）对不符合民用建筑节能强制性标准的设计方案出具合格意见的；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（三）对施工图设计文件不符合民用建筑节能强制性标准的民用建筑项目颁发施工许可证的；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（四）对违反国家和省关于禁止使用粘土砖的行为未予制止的；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（五）不依法履行监督管理职责造成严重社会影响的其他行为。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违反本条例建筑节能相关规定，有下列情形之一的，由县级以上人民政府住房和城乡建设主管部门责令限期改正，逾期不改正的，按以下规定处罚：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（一）建设单位明示或者暗示设计单位、施工单位违反民用建筑节能强制性标准进行设计、施工，或者自行采购的墙体材料、保温系统材料、门窗、采暖制冷系统和照明设备，不符合施工图设计文件要求的，处以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万元以下罚款；情节严重的，处以</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（二）设计单位未按照民用建筑节能强制性标准进行设计的，处以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（三）施工图设计文件审查机构审查通过未达到民用建筑节能强制性标准设计文件的，处以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（四）施工单位未按照民用建筑节能强制性标准进行施工的，处以建设项目合同价款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（五）工程监理单位未按照民用建筑节能强制性标准实施监理或者在墙体、屋面的保温工程施工时，未采取旁站、巡视和平行检验等形式实施监理的，处以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（六）房地产开发企业在销售商品房时，未公示所售商品房的能耗指标等基本信息、未在商品房买卖合同和住宅使用说明书中予以载明、公示或者载明的信息不实的，处以已交付使用的房屋销售总额</w:t>
      </w:r>
      <w:r>
        <w:rPr>
          <w:rStyle w:val="C3"/>
          <w:rFonts w:ascii="仿宋_GB2312" w:hAnsi="仿宋_GB2312"/>
          <w:sz w:val="32"/>
        </w:rPr>
        <w:t>2%</w:t>
      </w:r>
      <w:r>
        <w:rPr>
          <w:rStyle w:val="C3"/>
          <w:rFonts w:ascii="Microsoft YaHei UI" w:hAnsi="Microsoft YaHei UI"/>
          <w:sz w:val="32"/>
        </w:rPr>
        <w:t>以下的罚款，并按照有关法律法规的规定承担民事责任。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违反本条例发展新型墙体材料相关规定，有下列情形之一的，由县级以上人民政府住房和城乡建设主管部门责令限期改正，逾期不改正的，按以下规定处罚：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（一）建设单位在禁止使用粘土砖区域内实施建设项目中授意设计单位、施工单位设计使用粘土砖，或者擅自修改设计文件使用粘土砖的，对违法使用粘土砖部分予以拆除，并按已使用粘土砖量处以每立方米</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100</w:t>
      </w:r>
      <w:r>
        <w:rPr>
          <w:rStyle w:val="C3"/>
          <w:rFonts w:ascii="Microsoft YaHei UI" w:hAnsi="Microsoft YaHei UI"/>
          <w:sz w:val="32"/>
        </w:rPr>
        <w:t>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（二）新建、扩建、改建粘土砖生产项目的，处以建设项目合同价款</w:t>
      </w:r>
      <w:r>
        <w:rPr>
          <w:rStyle w:val="C3"/>
          <w:rFonts w:ascii="仿宋_GB2312" w:hAnsi="仿宋_GB2312"/>
          <w:sz w:val="32"/>
        </w:rPr>
        <w:t>1%</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以下罚款，但罚款金额不得超过</w:t>
      </w:r>
      <w:r>
        <w:rPr>
          <w:rStyle w:val="C3"/>
          <w:rFonts w:ascii="仿宋_GB2312" w:hAnsi="仿宋_GB2312"/>
          <w:sz w:val="32"/>
        </w:rPr>
        <w:t>50</w:t>
      </w:r>
      <w:r>
        <w:rPr>
          <w:rStyle w:val="C3"/>
          <w:rFonts w:ascii="Microsoft YaHei UI" w:hAnsi="Microsoft YaHei UI"/>
          <w:sz w:val="32"/>
        </w:rPr>
        <w:t>万元；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（三）设计单位在禁止使用粘土砖的建设项目中设计使用粘土砖的，处以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（四）施工图设计文件审查机构审查通过违反使用新型墙体材料规定的施工图设计文件的，处以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（五）施工单位未按照设计文件要求使用粘土砖进行施工的，处以建设项目合同价款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（六）工程监理单位未按照国家和省禁止使用粘土砖规定进行监理的，处以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房地产开发、设计、施工图设计文件审查、施工、监理等单位违反本条例规定，情节严重的，由省住房和城乡建设主管部门降低企业资质等级或者吊销资格证书；注册执业人员违反本条例规定，情节严重的，由颁发资质证书的部门吊销执业资格证书，</w:t>
      </w:r>
      <w:r>
        <w:rPr>
          <w:rStyle w:val="C3"/>
          <w:rFonts w:ascii="仿宋_GB2312" w:hAnsi="仿宋_GB2312"/>
          <w:sz w:val="32"/>
        </w:rPr>
        <w:t>5</w:t>
      </w:r>
      <w:r>
        <w:rPr>
          <w:rStyle w:val="C3"/>
          <w:rFonts w:ascii="Microsoft YaHei UI" w:hAnsi="Microsoft YaHei UI"/>
          <w:sz w:val="32"/>
        </w:rPr>
        <w:t>年内不得注册。</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第五章  附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民用建筑以外的其他建筑参照本条例执行。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公共机构建筑节能工作，法律、法规另有规定的，从其规定。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align>top</wp:align>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widowControl w:val="1"/>
                            <w:spacing w:after="200"/>
                            <w:jc w:val="left"/>
                            <w:rPr>
                              <w:rStyle w:val="C3"/>
                              <w:rFonts w:ascii="宋体" w:hAnsi="宋体"/>
                              <w:sz w:val="28"/>
                            </w:rPr>
                          </w:pPr>
                          <w: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1"/>
                      <w:widowControl w:val="1"/>
                      <w:spacing w:after="200"/>
                      <w:jc w:val="left"/>
                      <w:rPr>
                        <w:rStyle w:val="C3"/>
                        <w:rFonts w:ascii="宋体" w:hAnsi="宋体"/>
                        <w:sz w:val="28"/>
                      </w:rPr>
                    </w:pPr>
                    <w: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rFonts w:ascii="ˎ̥" w:hAnsi="ˎ̥"/>
      <w:color w:val="0404B3"/>
      <w:sz w:val="18"/>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2018-11-24T05:35:00Z</dcterms:created>
  <cp:lastModifiedBy>f1TZOF\f1TZOF-</cp:lastModifiedBy>
  <dcterms:modified xsi:type="dcterms:W3CDTF">2024-08-28T01:37:23Z</dcterms:modified>
  <cp:revision>2</cp:revision>
  <dc:title>吉林省民用建筑节能与发展新型墙体材料条例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