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228506" Type="http://schemas.openxmlformats.org/officeDocument/2006/relationships/officeDocument" Target="/word/document.xml" /><Relationship Id="coreR46228506" Type="http://schemas.openxmlformats.org/package/2006/relationships/metadata/core-properties" Target="/docProps/core.xml" /><Relationship Id="customR462285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宁夏回族自治区实施</w:t>
      </w:r>
    </w:p>
    <w:p>
      <w:pPr>
        <w:pStyle w:val="P1"/>
        <w:spacing w:lineRule="exact" w:line="580"/>
        <w:jc w:val="center"/>
        <w:rPr>
          <w:rStyle w:val="C3"/>
          <w:rFonts w:ascii="宋体" w:hAnsi="宋体"/>
          <w:sz w:val="44"/>
        </w:rPr>
      </w:pPr>
      <w:r>
        <w:rPr>
          <w:rStyle w:val="C3"/>
          <w:rFonts w:ascii="宋体" w:hAnsi="宋体"/>
          <w:sz w:val="44"/>
        </w:rPr>
        <w:t>《中华人民共和国矿山安全法》办法</w:t>
      </w:r>
    </w:p>
    <w:p>
      <w:pPr>
        <w:pStyle w:val="P1"/>
        <w:spacing w:lineRule="exact" w:line="580"/>
        <w:rPr>
          <w:rStyle w:val="C3"/>
          <w:rFonts w:ascii="宋体" w:hAnsi="宋体"/>
          <w:sz w:val="32"/>
        </w:rPr>
      </w:pPr>
    </w:p>
    <w:p>
      <w:pPr>
        <w:pStyle w:val="P1"/>
        <w:spacing w:lineRule="exact" w:line="580"/>
        <w:ind w:hanging="4" w:left="580"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日宁夏回族自治区第八届人民代表大会常务委员会第二次会议通过</w:t>
      </w:r>
      <w:r>
        <w:rPr>
          <w:rStyle w:val="C3"/>
          <w:rFonts w:ascii="楷体_GB2312" w:hAnsi="楷体_GB2312"/>
          <w:sz w:val="32"/>
        </w:rPr>
        <w:t xml:space="preserve"> </w:t>
      </w:r>
      <w:r>
        <w:rPr>
          <w:rStyle w:val="C3"/>
          <w:rFonts w:ascii="Microsoft YaHei UI" w:hAnsi="Microsoft YaHei UI"/>
          <w:sz w:val="32"/>
        </w:rPr>
        <w:t>）</w:t>
      </w:r>
    </w:p>
    <w:p>
      <w:pPr>
        <w:pStyle w:val="P1"/>
        <w:spacing w:lineRule="exact" w:line="580"/>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09"/>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09"/>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矿山建设的安全保障</w:t>
      </w:r>
    </w:p>
    <w:p>
      <w:pPr>
        <w:pStyle w:val="P1"/>
        <w:spacing w:lineRule="exact" w:line="580"/>
        <w:ind w:firstLine="609"/>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矿山开采的安全保障</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矿山企业的安全管理</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矿山安全的监督和管理</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矿山事故处理</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rPr>
          <w:rStyle w:val="C3"/>
          <w:rFonts w:ascii="宋体" w:hAnsi="宋体"/>
          <w:sz w:val="32"/>
        </w:rPr>
      </w:pPr>
    </w:p>
    <w:p>
      <w:pPr>
        <w:pStyle w:val="P1"/>
        <w:spacing w:lineRule="exact" w:line="580"/>
        <w:jc w:val="center"/>
        <w:rPr>
          <w:rStyle w:val="C3"/>
          <w:rFonts w:ascii="仿宋_GB2312" w:hAnsi="仿宋_GB2312"/>
          <w:sz w:val="32"/>
        </w:rPr>
      </w:pPr>
      <w:r>
        <w:rPr>
          <w:rStyle w:val="C3"/>
          <w:rFonts w:ascii="黑体" w:hAnsi="黑体"/>
          <w:sz w:val="32"/>
        </w:rPr>
        <w:t>第一章　总则</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根据《中华人民共和国矿山安全法》（以下简称《矿山安全法》）和《中华人民共和国矿山安全法实施条例》（以下简称《实施条例》），结合自治区实际，制定本办法。</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凡在本自治区行政区域内依法批准的矿区范围从事矿产资源勘探、设计、建设、生产、开采、闭坑和对矿山安全进行监督、管理的单位和个人，均须遵守本办法。</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矿山安全工作贯彻</w:t>
      </w:r>
      <w:r>
        <w:rPr>
          <w:rStyle w:val="C3"/>
          <w:rFonts w:ascii="仿宋_GB2312" w:hAnsi="仿宋_GB2312"/>
          <w:sz w:val="32"/>
        </w:rPr>
        <w:t>“</w:t>
      </w:r>
      <w:r>
        <w:rPr>
          <w:rStyle w:val="C3"/>
          <w:rFonts w:ascii="Microsoft YaHei UI" w:hAnsi="Microsoft YaHei UI"/>
          <w:sz w:val="32"/>
        </w:rPr>
        <w:t>安全第一，预防为主</w:t>
      </w:r>
      <w:r>
        <w:rPr>
          <w:rStyle w:val="C3"/>
          <w:rFonts w:ascii="仿宋_GB2312" w:hAnsi="仿宋_GB2312"/>
          <w:sz w:val="32"/>
        </w:rPr>
        <w:t>”</w:t>
      </w:r>
      <w:r>
        <w:rPr>
          <w:rStyle w:val="C3"/>
          <w:rFonts w:ascii="Microsoft YaHei UI" w:hAnsi="Microsoft YaHei UI"/>
          <w:sz w:val="32"/>
        </w:rPr>
        <w:t>的方针。矿山企业必须加强安全管理，改善职工劳动条件，保证安全生产。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县级以上人民政府矿山安全行政主管部门对本行政区域内的矿山安全工作实施统一监督。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县级以上人民政府管理矿山企业的主管部门对矿山安全工作进行管理。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各级工会组织依照国家有关规定，对矿山安全工作实施群众监督。</w:t>
      </w:r>
    </w:p>
    <w:p>
      <w:pPr>
        <w:pStyle w:val="P1"/>
        <w:spacing w:lineRule="exact" w:line="580"/>
        <w:ind w:firstLine="601"/>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各级人民政府应当加强对矿山安全工作的领导，支持、鼓励矿山安全科学技术研究，推广先进技术，改进安全设施，提高安全生产水平。对在矿山安全工作中取得显著成绩的单位和个人，给予表彰奖励。</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矿山建设的安全保障</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矿山建设工程新建、改建、扩建和技术改造工程的安全设施必须和主体工程同时设计，同时施工，同时投入生产和使用。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矿山建设单位在向管理矿山企业的主管部门报审矿山建设工程安全设施设计文件时，必须同时报送矿山安全行政主管部门审查。未经审查或者审查不合格的，管理矿山企业的主管部门不得批准。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经批准后的矿山建设工程安全设施设计需要修改时，必须征求原参加审查的矿山安全行政主管部门的意见。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矿山建设工程必须按照管理矿山企业的主管部门批准的设计文件施工。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矿山建设工程必须由具有安全施工资格的单位承担。</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矿山建设工程安全设施竣工后，由管理矿山企业的主管部门组织验收，并须有同级矿山安全行政主管部门和工会参加。必要时，由矿山安全行政主管部门委托有资格的矿山安全检测机构进行检测检验，并提出报告。</w:t>
      </w:r>
    </w:p>
    <w:p>
      <w:pPr>
        <w:pStyle w:val="P1"/>
        <w:spacing w:lineRule="exact" w:line="580"/>
        <w:ind w:firstLine="601"/>
        <w:rPr>
          <w:rStyle w:val="C3"/>
          <w:rFonts w:ascii="仿宋_GB2312" w:hAnsi="仿宋_GB2312"/>
          <w:sz w:val="32"/>
        </w:rPr>
      </w:pPr>
      <w:r>
        <w:rPr>
          <w:rStyle w:val="C3"/>
          <w:rFonts w:ascii="Microsoft YaHei UI" w:hAnsi="Microsoft YaHei UI"/>
          <w:sz w:val="32"/>
        </w:rPr>
        <w:t>矿山建设工程安全设施未经矿山安全行政主管部门参加验收或者验收不合格的，建设单位不得投入生产和使用。</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矿山开采的安全保障</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矿山开采必须具备保障安全生产的条件，执行本行业矿山安全规程和行业技术规范。采、掘、剥作业应当编制作业规程；主要设备的使用应当制定操作规程。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矿山开采必须有符合国家和自治区有关矿山安全和行业规程规定的与实际相符合的图纸资料。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矿山开采作业现场必须按照国家标准设置安全标志。</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矿山开采只限在《采矿许可证》规定的范围内，不准超层、越界开采，相邻矿井不准相互贯通。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矿山企业必须建立机电设备及其防护装置、安全设施、安全检测仪器和主要生产系统的定期检查、维修制度，并建立技术、检查、维修档案。检查、维修应当执行国家标准和行业标准。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井下风量、风质、风速、局部通风必须符合矿山安全规程和行业技术规范。</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在下列条件下开采，必须编制专门设计，报自治区管理矿山企业的主管部门批准：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（一）有煤（岩）与瓦斯突出危险的；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（二）有冲击地压的；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（三）在需要保护的建筑物、构筑物、铁路、公路下面开采的；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（四）在水体下面开采的；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（五）在地温异常或者热水涌出地区开采的。</w:t>
      </w:r>
    </w:p>
    <w:p>
      <w:pPr>
        <w:pStyle w:val="P1"/>
        <w:spacing w:lineRule="exact" w:line="580"/>
        <w:ind w:firstLine="614"/>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井下采掘作业，必须按照作业规程管理顶帮。采掘作业通过地质破碎带或其他顶帮破碎地点时，应当加强支护。</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露天开采作业，必须按照设计规定，控制剥采工作面的阶段高度、宽度、边坡角和最终边坡角。采剥和排土作业，不得对深部和邻近井巷造成危害。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矿山企业必须建立地面和井下防火制度，设置消防设备。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有自然发火可能性的矿井，必须执行矿山企业规程和技术规程，采取预防措施。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井下采掘作业遇到下列情形之一时，必须探水前进：</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（一）接近承压含水层或者含水断层、流沙层、砾石层、溶洞、陷落柱；</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（二）接近与地表水体或者钻孔相通的地质破碎带；</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（三）接近积水的老窑、旧巷或者灌过泥浆的采空区；</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（四）掘开隔离矿柱或者岩柱放水；</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（五）发现有出水征兆。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煤矿和其它有瓦斯爆炸危险的矿井，必须严格执行行业安全规程和瓦斯检查制度，每年组织一次矿井瓦斯等级鉴定。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开采石油天然气的钻井、采油、修井等作业应根据地质条件和作业环境编制井控程序和措施。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钻井作业应当执行钻井工程设计要求，钻开油（气）层前必须检查井控装备、钻井液和防火、防硫等措施。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采油（气）井投产前，应装备完整的采油（气）树、井口及井下安全阀和监测、控制系统，并进行耐压和关闭试验。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采油（气）井的射孔、压裂、酸化、采油（气）作业，应当按井控操作规程操作，对井口失控应有应急的措施。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矿山企业应当建立爆破管理制度。矿山的爆破作业、爆破材料的制造、储存、运输、试验及销毁，按照国家或行业有关规定执行。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矿山企业必须对地面、井下产生粉尘的作业地点，采取综合防尘措施，控制粉尘危害。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井下风动凿岩时，严禁干打眼。</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矿山企业应当建立地面塌陷区、排土场、尾矿库、矸石山的检查、维护制度。对可能发生坠落、坍塌、滑坡、溃坝等危害，应当采取预防措施。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矿山闭封坑口，必须在闭坑前三个月提出闭坑报告，报矿山企业主管部门批准，并报当地矿山安全行政主管部门备案。闭坑报告应当有安全措施内容并附有关图纸资料。</w:t>
      </w:r>
    </w:p>
    <w:p>
      <w:pPr>
        <w:pStyle w:val="P1"/>
        <w:spacing w:lineRule="exact" w:line="580"/>
        <w:ind w:firstLine="601"/>
        <w:rPr>
          <w:rStyle w:val="C3"/>
          <w:rFonts w:ascii="仿宋_GB2312" w:hAnsi="仿宋_GB2312"/>
          <w:sz w:val="32"/>
        </w:rPr>
      </w:pPr>
      <w:r>
        <w:rPr>
          <w:rStyle w:val="C3"/>
          <w:rFonts w:ascii="Microsoft YaHei UI" w:hAnsi="Microsoft YaHei UI"/>
          <w:sz w:val="32"/>
        </w:rPr>
        <w:t>闭坑时，矿山企业对可能引起的危害应当采取预防措施。</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矿山企业的安全管理</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矿山企业应当建立健全安全生产管理制度和安生产责任制。矿长必须经过安全培训和考核，具有领导安全生产和处理事故的能力。没有取得《矿长安全资格证书》的，不得担任矿长。</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自治区矿山企业主管部门对矿长安全资格进行培训、考核，经自治区矿山安全行政主管部门监督审核后统一签发《矿长安全资格证书》。</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矿长每年不少于两次向职工代表大会或职工大会报告本企业安全生产重大决策、安全措施计划和执行情况，职工安全教育和培训计划执行情况，职工提出的有关改善劳动条件建议和要求的处理情况，重大事故的处理情况等，接受民主监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矿山企业应当设置管理安全生产的机构或者配备专职安全工作人员。专职安全工作人员必须经过培训、考核，胜任现场安全检查工作。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矿山企业应当按照规定对职工进行安全教育和培训，经考核合格，方可上岗独立操作。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特种作业人员必须接受专门技术培训，经考核合格取得《特种作业人员安全技术操作证》后，方可上岗作业。取得作业证书的特种作业人员，必须定期接受复审。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以承包、联合或者其他形式从事采矿或者承建单项矿建工程项目的，其安全管理由所在矿山企业负责。签订的承包或者联合合同、协议，必须有安全生产内容，并明确规定各自的责任。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矿山企业必须按照国家和自治区的有关规定向职工发放劳动防护用品。职工上岗必须按照规定佩戴劳动防护用品。</w:t>
      </w:r>
    </w:p>
    <w:p>
      <w:pPr>
        <w:pStyle w:val="P1"/>
        <w:spacing w:lineRule="exact" w:line="580"/>
        <w:ind w:firstLine="601"/>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矿山企业应当从维简费或当年固定资产更新和技术改造资金中，提取不低于２０％的矿山安全技术措施费用，用于预防矿山事故、职业危害、职工安全培训和改善矿山安全生产条件。</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矿山安全的监督和管理</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县级以上矿山安全行政主管部门应当配备矿山安全监督员。矿山安全监督员的监督证件和专用标志依照国家有关规定执行。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矿山安全监督员必须掌握矿山安全的法律、法规，熟悉矿山安全技术知识，具有矿山安全工作经验，能胜任矿山安全检查工作。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矿山安全监督员有权进入企业现场检查，参加有关会议，调阅有关资料，向有关单位和人员了解情况。</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矿山安全监督员在检查中发现违章指挥、作业的行为，有权立即制止。发现有危及职工安全健康的情况，有权发出监督意见通知书，要求立即改正或限期改正。情况紧急时，有权要求立即停止作业，从危险区撤出作业人员。</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矿山安全监督员执行公务时，应当出示矿山安全监察证件，并佩戴专用标志。</w:t>
      </w:r>
    </w:p>
    <w:p>
      <w:pPr>
        <w:pStyle w:val="P1"/>
        <w:spacing w:lineRule="exact" w:line="580"/>
        <w:ind w:firstLine="601"/>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县级以上矿山安全行政主管部门定期对矿长、特种作业人员和企业职工的培训情况进行监察。</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矿山事故处理</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矿山企业应当建立事故报告制度。矿山企业发生重伤、死亡及较大经济损失事故后，必须在２４小时内向管理矿山企业的主管部门和矿山所在地的市、县矿山安全行政主管部门及有关部门报告。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管理矿山企业的主管部门和矿山安全行政主管部门接到事故报告后，按有关规定逐级上报。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矿山事故调查处理实行分级负责制：</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（一）轻伤、一次重伤１至２人的事故或者直接经济损失１０万元以下的事故，由矿山企业负责调查和处理，并将调查和处理情况报告上一级矿山企业主管部门和当地矿山安全行政主管部门；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一次死亡１至２人，一次重伤３至９人或者直接经济损失３０万元以下的事故，一次造成２０人以下的急性中毒事故，由矿山企业主管部门会同企业所在地的市、县矿山安全、公安、监察部门和工会组成事故调查组，进行调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一次死亡３人以上，一次死亡（１～２人）、重伤１０人以上，一次重伤１０人以上或者直接经济损失３０万元以上的事故，一次造成２０人以上的急性中毒事故，由自治区矿山企业主管部门会同同级矿山安全、公安、监察部门和工会组成事故调查组，进行调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（四）一次死亡１０人以上的矿山事故，由自治区人民政府组织有关部门组成事故调查组，进行调查。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特别重大矿山事故的调查处理工作，按国务院有关规定执行。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矿山企业发生本条第一款第（二）、（三）、（四）项所列伤亡事故，各级事故调查组可以邀请其他部门和有关专家参加调查。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事故调查组在向发生事故的矿山企业和有关单位、有关人员了解情况和索取资料时，有关单位和人员必须如实提供。</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事故调查组对事故的分析和事故责任者的处理如果不能取得一致意见的，由矿山安全行政主管部门提出结论性意见；仍有不同意见时，报上级矿山安全行政主管部门商同有关部门处理；还不能达成一致意见的，由同级人民政府裁决。</w:t>
      </w:r>
    </w:p>
    <w:p>
      <w:pPr>
        <w:pStyle w:val="P1"/>
        <w:spacing w:lineRule="exact" w:line="580"/>
        <w:ind w:firstLine="601"/>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发生事故的企业及其主管部门应当根据事故调查组的调查报告提出事故处理报告书，经矿山安全行政主管部门按照国家和自治区规定的权限审核批复结案。</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法律责任</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违反本办法，有下列行为之一的，由矿山安全行政主管部门予以处罚：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（一）矿山建设工程的安全设施未经验收或验收不合格擅自投入生产的，依照《矿山安全法》第四十三条和《实施条例》第五十三条的规定处以５万元以上１０万元以下的罚款；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（二）使用不符合国家安全标准或者行业安全标准的设备、器材、防护用品和安全检测仪器的，责令限期改正，逾期不改正的，处以２千元以上５万元以下的罚款；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矿长未取得《矿长安全资格证》的，特种作业人员未取得《特种作业人员安全技术操作证》而上岗作业的，责令限期改正；逾期不改正的，提请县级以上人民政府决定责令停产，调整配备合格人员后，方可恢复生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（四）未按规定提取或者使用安全技术措施专项经费的，责令改正，可以处２千元以上４万元以下的罚款；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（五）未按规定对职工进行安全教育、培训，分配职工上岗作业的，责令改正，并处以矿山企业１千元以上４万元以下的罚款。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第十三条、第十四条、第十五条、第十六条、第十七条、第十八条、第十九条、第二十二条、第二十三条、第三十条规定的，由矿山安全行政主管部门责令改正，可以处以矿山企业１千元以上２万元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矿山企业有下列行为之一的，由矿山安全行政主管部门责令改正，并可处以１千元以上２万元以下的罚款；情节严重的，提请县级以上人民政府决定责令停产整顿，对主管人员和直接责任人员由其所在单位或者上级主管机关给予行政处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（一）在被检查时隐瞒事故隐患，不如实反映情况的；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（二）发生矿山事故，未按照国家规定及时、如实报告的；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（三）拒绝、阻碍矿山安全监督人员依法履行矿山安全监察职责的。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矿山安全监督人员、安全管理人员和有关主管机关工作人员滥用职权、玩忽职守、徇私舞弊，未构成犯罪的，给予行政处分，并调离现岗位；构成犯罪的，依法追究刑事责任。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当事人对行政处罚决定不服的，可以依法申请行政复议或者向人民法院提起行政诉讼。</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当事人逾期不申请复议也不向人民法院起诉、又不履行处罚决定的，作出处罚决定的机关可以申请人民法院强制执行。</w:t>
      </w:r>
    </w:p>
    <w:p>
      <w:pPr>
        <w:pStyle w:val="P1"/>
        <w:spacing w:lineRule="exact" w:line="580"/>
        <w:jc w:val="center"/>
        <w:rPr>
          <w:rStyle w:val="C3"/>
          <w:rFonts w:ascii="黑体" w:hAnsi="黑体"/>
          <w:sz w:val="32"/>
        </w:rPr>
      </w:pPr>
      <w:r>
        <w:rPr>
          <w:rStyle w:val="C3"/>
          <w:rFonts w:ascii="黑体" w:hAnsi="黑体"/>
          <w:sz w:val="32"/>
        </w:rPr>
        <w:t xml:space="preserve">第八章  附则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4"/>
    <w:rPr>
      <w:sz w:val="18"/>
    </w:rPr>
  </w:style>
  <w:style w:type="character" w:styleId="C6">
    <w:name w:val="批注框文本 Char"/>
    <w:link w:val="P2"/>
    <w:rPr>
      <w:sz w:val="18"/>
    </w:rPr>
  </w:style>
  <w:style w:type="character" w:styleId="C7">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2024-08-28T01:37:25Z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