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2CD396" Type="http://schemas.openxmlformats.org/officeDocument/2006/relationships/officeDocument" Target="/word/document.xml" /><Relationship Id="coreR762CD396" Type="http://schemas.openxmlformats.org/package/2006/relationships/metadata/core-properties" Target="/docProps/core.xml" /><Relationship Id="customR762CD3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鄂尔多斯市中小学校幼儿园规划建设条例</w:t>
      </w:r>
    </w:p>
    <w:p>
      <w:pPr>
        <w:pStyle w:val="P1"/>
        <w:spacing w:lineRule="exact" w:line="600"/>
        <w:jc w:val="center"/>
        <w:rPr>
          <w:rStyle w:val="C3"/>
          <w:rFonts w:ascii="方正小标宋简体" w:hAnsi="方正小标宋简体"/>
          <w:sz w:val="42"/>
        </w:rPr>
      </w:pPr>
    </w:p>
    <w:p>
      <w:pPr>
        <w:pStyle w:val="P1"/>
        <w:keepNext w:val="0"/>
        <w:keepLines w:val="0"/>
        <w:widowControl w:val="0"/>
        <w:spacing w:lineRule="exact" w:line="600"/>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2020</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27</w:t>
      </w:r>
      <w:r>
        <w:rPr>
          <w:rStyle w:val="C3"/>
          <w:rFonts w:ascii="Microsoft YaHei UI" w:hAnsi="Microsoft YaHei UI"/>
          <w:sz w:val="31"/>
        </w:rPr>
        <w:t>日鄂尔多斯市第四届人民代表大会常务委员会第二十二次会议通过</w:t>
      </w:r>
      <w:r>
        <w:rPr>
          <w:rStyle w:val="C3"/>
          <w:rFonts w:ascii="楷体_GB2312" w:hAnsi="楷体_GB2312"/>
          <w:sz w:val="31"/>
        </w:rPr>
        <w:t xml:space="preserve">  2020</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26</w:t>
      </w:r>
      <w:r>
        <w:rPr>
          <w:rStyle w:val="C3"/>
          <w:rFonts w:ascii="Microsoft YaHei UI" w:hAnsi="Microsoft YaHei UI"/>
          <w:sz w:val="31"/>
        </w:rPr>
        <w:t>日内蒙古自治区第十三届人民代表大会常务委员会第二十三次会议批准</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日内蒙古自治区第十三届人民代表大会常务委员会第三十次会议批准的《鄂尔多斯市人民代表大会常务委员会关于修改〈鄂尔多斯市环境保护条例〉等</w:t>
      </w:r>
      <w:r>
        <w:rPr>
          <w:rStyle w:val="C3"/>
          <w:rFonts w:ascii="楷体_GB2312" w:hAnsi="楷体_GB2312"/>
          <w:sz w:val="31"/>
        </w:rPr>
        <w:t>5</w:t>
      </w:r>
      <w:r>
        <w:rPr>
          <w:rStyle w:val="C3"/>
          <w:rFonts w:ascii="Microsoft YaHei UI" w:hAnsi="Microsoft YaHei UI"/>
          <w:sz w:val="31"/>
        </w:rPr>
        <w:t>部地方性法规的决定》修正）</w:t>
      </w:r>
    </w:p>
    <w:p>
      <w:pPr>
        <w:pStyle w:val="P1"/>
        <w:spacing w:lineRule="exact" w:line="600" w:before="312" w:after="312"/>
        <w:jc w:val="center"/>
        <w:rPr>
          <w:rStyle w:val="C3"/>
          <w:rFonts w:ascii="黑体" w:hAnsi="黑体"/>
          <w:sz w:val="31"/>
        </w:rPr>
      </w:pPr>
      <w:r>
        <w:rPr>
          <w:rStyle w:val="C3"/>
          <w:rFonts w:ascii="黑体" w:hAnsi="黑体"/>
          <w:sz w:val="31"/>
        </w:rPr>
        <w:t>第一章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加强中小学校、幼儿园规划和建设工作，促进教育事业优质均衡发展，根据《中华人民共和国教育法》《中华人民共和国义务教育法》《中华人民共和国城乡规划法》等法律法规，结合本市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本市行政区域内中小学校、幼儿园的规划和建设工作，适用本条例。法律、法规已经作出规定的，从其规定。</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中小学校、幼儿园的规划和建设应当遵循政府主导、属地管理、优先保障、科学规划、合理布局、统筹建设的原则。</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市、旗区人民政府应当加强本行政区域内中小学校、幼儿园的规划和建设工作，将中小学校、幼儿园的规划和建设纳入本级国民经济和社会发展规划、城镇国土空间规划。</w:t>
      </w:r>
    </w:p>
    <w:p>
      <w:pPr>
        <w:pStyle w:val="P1"/>
        <w:spacing w:lineRule="exact" w:line="600"/>
        <w:ind w:firstLine="588"/>
        <w:rPr>
          <w:rStyle w:val="C3"/>
          <w:rFonts w:ascii="仿宋_GB2312" w:hAnsi="仿宋_GB2312"/>
          <w:sz w:val="31"/>
        </w:rPr>
      </w:pPr>
      <w:r>
        <w:rPr>
          <w:rStyle w:val="C3"/>
          <w:rFonts w:ascii="Microsoft YaHei UI" w:hAnsi="Microsoft YaHei UI"/>
          <w:sz w:val="31"/>
        </w:rPr>
        <w:t>教育主管部门负责组织实施中小学校、幼儿园的规划和建设工作。</w:t>
      </w:r>
    </w:p>
    <w:p>
      <w:pPr>
        <w:pStyle w:val="P1"/>
        <w:spacing w:lineRule="exact" w:line="600"/>
        <w:ind w:firstLine="620"/>
        <w:rPr>
          <w:rStyle w:val="C3"/>
          <w:rFonts w:ascii="仿宋_GB2312" w:hAnsi="仿宋_GB2312"/>
          <w:sz w:val="31"/>
        </w:rPr>
      </w:pPr>
      <w:r>
        <w:rPr>
          <w:rStyle w:val="C3"/>
          <w:rFonts w:ascii="Microsoft YaHei UI" w:hAnsi="Microsoft YaHei UI"/>
          <w:sz w:val="31"/>
        </w:rPr>
        <w:t>自然资源部门负责中小学校、幼儿园的规划管理、建设用地保障和不动产登记工作。</w:t>
      </w:r>
    </w:p>
    <w:p>
      <w:pPr>
        <w:pStyle w:val="P1"/>
        <w:spacing w:lineRule="exact" w:line="600"/>
        <w:ind w:firstLine="620"/>
        <w:rPr>
          <w:rStyle w:val="C3"/>
          <w:rFonts w:ascii="仿宋_GB2312" w:hAnsi="仿宋_GB2312"/>
          <w:sz w:val="31"/>
        </w:rPr>
      </w:pPr>
      <w:r>
        <w:rPr>
          <w:rStyle w:val="C3"/>
          <w:rFonts w:ascii="Microsoft YaHei UI" w:hAnsi="Microsoft YaHei UI"/>
          <w:sz w:val="31"/>
        </w:rPr>
        <w:t>住房和城乡建设部门负责中小学校、幼儿园工程建设监督管理工作。</w:t>
      </w:r>
    </w:p>
    <w:p>
      <w:pPr>
        <w:pStyle w:val="P1"/>
        <w:spacing w:lineRule="exact" w:line="600"/>
        <w:ind w:firstLine="620"/>
        <w:rPr>
          <w:rStyle w:val="C3"/>
          <w:rFonts w:ascii="仿宋_GB2312" w:hAnsi="仿宋_GB2312"/>
          <w:sz w:val="31"/>
        </w:rPr>
      </w:pPr>
      <w:r>
        <w:rPr>
          <w:rStyle w:val="C3"/>
          <w:rFonts w:ascii="Microsoft YaHei UI" w:hAnsi="Microsoft YaHei UI"/>
          <w:sz w:val="31"/>
        </w:rPr>
        <w:t>发展和改革、公安、财政、城市管理综合执法、文化和旅游、应急管理、市场监督管理等有关部门按照各自职责做好中小学校、幼儿园的规划和建设工作。</w:t>
      </w:r>
    </w:p>
    <w:p>
      <w:pPr>
        <w:pStyle w:val="P1"/>
        <w:spacing w:lineRule="exact" w:line="600" w:before="312" w:after="312"/>
        <w:jc w:val="center"/>
        <w:rPr>
          <w:rStyle w:val="C3"/>
          <w:rFonts w:ascii="黑体" w:hAnsi="黑体"/>
          <w:sz w:val="31"/>
        </w:rPr>
      </w:pPr>
      <w:r>
        <w:rPr>
          <w:rStyle w:val="C3"/>
          <w:rFonts w:ascii="黑体" w:hAnsi="黑体"/>
          <w:sz w:val="31"/>
        </w:rPr>
        <w:t>第二章　规　划</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市、旗区人民政府教育主管部门会同自然资源、住房和城乡建设等部门，组织编制本辖区中小学校、幼儿园布局专项规划。</w:t>
      </w:r>
    </w:p>
    <w:p>
      <w:pPr>
        <w:pStyle w:val="P1"/>
        <w:spacing w:lineRule="exact" w:line="600"/>
        <w:ind w:firstLine="620"/>
        <w:rPr>
          <w:rStyle w:val="C3"/>
          <w:rFonts w:ascii="仿宋_GB2312" w:hAnsi="仿宋_GB2312"/>
          <w:sz w:val="31"/>
        </w:rPr>
      </w:pPr>
      <w:r>
        <w:rPr>
          <w:rStyle w:val="C3"/>
          <w:rFonts w:ascii="Microsoft YaHei UI" w:hAnsi="Microsoft YaHei UI"/>
          <w:sz w:val="31"/>
        </w:rPr>
        <w:t>中小学校、幼儿园布局专项规划应当根据国民经济和社会发展规划、城镇国土空间总体规划、教育事业发展规划，综合考虑城市功能区分布、人口居住状况、学龄人口变化趋势、交通状况、现有教育资源和城镇化进程等因素科学编制。</w:t>
      </w:r>
    </w:p>
    <w:p>
      <w:pPr>
        <w:pStyle w:val="P1"/>
        <w:spacing w:lineRule="exact" w:line="600"/>
        <w:ind w:firstLine="620"/>
        <w:rPr>
          <w:rStyle w:val="C3"/>
          <w:rFonts w:ascii="仿宋_GB2312" w:hAnsi="仿宋_GB2312"/>
          <w:sz w:val="31"/>
        </w:rPr>
      </w:pPr>
      <w:r>
        <w:rPr>
          <w:rStyle w:val="C3"/>
          <w:rFonts w:ascii="Microsoft YaHei UI" w:hAnsi="Microsoft YaHei UI"/>
          <w:sz w:val="31"/>
        </w:rPr>
        <w:t>编制中小学校、幼儿园布局专项规划，应当采取论证会、座谈会、听证会或者其他方式征求专家、有关部门和社会公众的意见。</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中小学校、幼儿园布局专项规划经本级人民政府批准后向社会公布，专项规划主要内容应当纳入所在城镇国土空间详细规划；农村牧区中小学校、幼儿园用地规划应当纳入苏木乡规划和村庄规划。</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经批准的中小学校、幼儿园布局专项规划，未经法定程序不得擅自修改。确需修改的，教育主管部门应当依照本条例规定重新报请批准并向社会公布。</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市、旗区人民政府教育主管部门应当会同自然资源部门，至少每三年对中小学校、幼儿园布局专项规划实施情况进行一次评估，并向本级人民政府提交评估报告。</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编制城镇国土空间详细规划和中小学校、幼儿园布局专项规划时，应当优先预留足量、适宜的中小学校、幼儿园建设用地。保障生均用地面积指标不低于国家和自治区标准，有条件的地方可以适当提高标准。中心城区、旗区人民政府所在地中小学校、幼儿园生均用地面积应当符合以下标准：</w:t>
      </w:r>
    </w:p>
    <w:p>
      <w:pPr>
        <w:pStyle w:val="P1"/>
        <w:spacing w:lineRule="exact" w:line="600"/>
        <w:ind w:firstLine="620"/>
        <w:rPr>
          <w:rStyle w:val="C3"/>
          <w:rFonts w:ascii="仿宋_GB2312" w:hAnsi="仿宋_GB2312"/>
          <w:sz w:val="31"/>
        </w:rPr>
      </w:pPr>
      <w:r>
        <w:rPr>
          <w:rStyle w:val="C3"/>
          <w:rFonts w:ascii="Microsoft YaHei UI" w:hAnsi="Microsoft YaHei UI"/>
          <w:sz w:val="31"/>
        </w:rPr>
        <w:t>（一）幼儿园生均用地面积不低于</w:t>
      </w:r>
      <w:r>
        <w:rPr>
          <w:rStyle w:val="C3"/>
          <w:rFonts w:ascii="仿宋_GB2312" w:hAnsi="仿宋_GB2312"/>
          <w:sz w:val="31"/>
        </w:rPr>
        <w:t>35</w:t>
      </w:r>
      <w:r>
        <w:rPr>
          <w:rStyle w:val="C3"/>
          <w:rFonts w:ascii="Microsoft YaHei UI" w:hAnsi="Microsoft YaHei UI"/>
          <w:sz w:val="31"/>
        </w:rPr>
        <w:t>平方米；</w:t>
      </w:r>
    </w:p>
    <w:p>
      <w:pPr>
        <w:pStyle w:val="P1"/>
        <w:spacing w:lineRule="exact" w:line="600"/>
        <w:ind w:firstLine="620"/>
        <w:rPr>
          <w:rStyle w:val="C3"/>
          <w:rFonts w:ascii="仿宋_GB2312" w:hAnsi="仿宋_GB2312"/>
          <w:sz w:val="31"/>
        </w:rPr>
      </w:pPr>
      <w:r>
        <w:rPr>
          <w:rStyle w:val="C3"/>
          <w:rFonts w:ascii="Microsoft YaHei UI" w:hAnsi="Microsoft YaHei UI"/>
          <w:sz w:val="31"/>
        </w:rPr>
        <w:t>（二）小学生均用地面积不低于</w:t>
      </w:r>
      <w:r>
        <w:rPr>
          <w:rStyle w:val="C3"/>
          <w:rFonts w:ascii="仿宋_GB2312" w:hAnsi="仿宋_GB2312"/>
          <w:sz w:val="31"/>
        </w:rPr>
        <w:t>40</w:t>
      </w:r>
      <w:r>
        <w:rPr>
          <w:rStyle w:val="C3"/>
          <w:rFonts w:ascii="Microsoft YaHei UI" w:hAnsi="Microsoft YaHei UI"/>
          <w:sz w:val="31"/>
        </w:rPr>
        <w:t>平方米；</w:t>
      </w:r>
    </w:p>
    <w:p>
      <w:pPr>
        <w:pStyle w:val="P1"/>
        <w:spacing w:lineRule="exact" w:line="600"/>
        <w:ind w:firstLine="620"/>
        <w:rPr>
          <w:rStyle w:val="C3"/>
          <w:rFonts w:ascii="仿宋_GB2312" w:hAnsi="仿宋_GB2312"/>
          <w:sz w:val="31"/>
        </w:rPr>
      </w:pPr>
      <w:r>
        <w:rPr>
          <w:rStyle w:val="C3"/>
          <w:rFonts w:ascii="Microsoft YaHei UI" w:hAnsi="Microsoft YaHei UI"/>
          <w:sz w:val="31"/>
        </w:rPr>
        <w:t>（三）初级中学生均用地面积不低于</w:t>
      </w:r>
      <w:r>
        <w:rPr>
          <w:rStyle w:val="C3"/>
          <w:rFonts w:ascii="仿宋_GB2312" w:hAnsi="仿宋_GB2312"/>
          <w:sz w:val="31"/>
        </w:rPr>
        <w:t>45</w:t>
      </w:r>
      <w:r>
        <w:rPr>
          <w:rStyle w:val="C3"/>
          <w:rFonts w:ascii="Microsoft YaHei UI" w:hAnsi="Microsoft YaHei UI"/>
          <w:sz w:val="31"/>
        </w:rPr>
        <w:t>平方米；</w:t>
      </w:r>
    </w:p>
    <w:p>
      <w:pPr>
        <w:pStyle w:val="P1"/>
        <w:spacing w:lineRule="exact" w:line="600"/>
        <w:ind w:firstLine="620"/>
        <w:rPr>
          <w:rStyle w:val="C3"/>
          <w:rFonts w:ascii="仿宋_GB2312" w:hAnsi="仿宋_GB2312"/>
          <w:sz w:val="31"/>
        </w:rPr>
      </w:pPr>
      <w:r>
        <w:rPr>
          <w:rStyle w:val="C3"/>
          <w:rFonts w:ascii="Microsoft YaHei UI" w:hAnsi="Microsoft YaHei UI"/>
          <w:sz w:val="31"/>
        </w:rPr>
        <w:t>（四）高级中学生均用地面积不低于</w:t>
      </w:r>
      <w:r>
        <w:rPr>
          <w:rStyle w:val="C3"/>
          <w:rFonts w:ascii="仿宋_GB2312" w:hAnsi="仿宋_GB2312"/>
          <w:sz w:val="31"/>
        </w:rPr>
        <w:t>50</w:t>
      </w:r>
      <w:r>
        <w:rPr>
          <w:rStyle w:val="C3"/>
          <w:rFonts w:ascii="Microsoft YaHei UI" w:hAnsi="Microsoft YaHei UI"/>
          <w:sz w:val="31"/>
        </w:rPr>
        <w:t>平方米。</w:t>
      </w:r>
    </w:p>
    <w:p>
      <w:pPr>
        <w:pStyle w:val="P1"/>
        <w:spacing w:lineRule="exact" w:line="600"/>
        <w:ind w:firstLine="620"/>
        <w:rPr>
          <w:rStyle w:val="C3"/>
          <w:rFonts w:ascii="仿宋_GB2312" w:hAnsi="仿宋_GB2312"/>
          <w:sz w:val="31"/>
        </w:rPr>
      </w:pPr>
      <w:r>
        <w:rPr>
          <w:rStyle w:val="C3"/>
          <w:rFonts w:ascii="Microsoft YaHei UI" w:hAnsi="Microsoft YaHei UI"/>
          <w:sz w:val="31"/>
        </w:rPr>
        <w:t>中小学校、幼儿园的办学规模应当符合国家和自治区相关规定。苏木乡镇、农村牧区可以适当调整中小学校、幼儿园布点，增加学校服务半径或者建设乡村小规模学校和寄宿制学校。</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旧城区改造、新城区开发、居住区建设、易地搬迁应当按照标准规划建设中小学校、幼儿园。</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现有中小学校、幼儿园用地面积、建筑面积和办学规模等未达到国家和自治区规定标准的，编制中小学校、幼儿园布局专项规划时应当作出相应的改建、扩建规划。</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对规划预留的中小学校、幼儿园建设用地，任何组织和个人不得擅自变更用地性质或者改变用途。</w:t>
      </w:r>
    </w:p>
    <w:p>
      <w:pPr>
        <w:pStyle w:val="P1"/>
        <w:spacing w:lineRule="exact" w:line="600"/>
        <w:ind w:firstLine="620"/>
        <w:rPr>
          <w:rStyle w:val="C3"/>
          <w:rFonts w:ascii="仿宋_GB2312" w:hAnsi="仿宋_GB2312"/>
          <w:sz w:val="31"/>
        </w:rPr>
      </w:pPr>
      <w:r>
        <w:rPr>
          <w:rStyle w:val="C3"/>
          <w:rFonts w:ascii="Microsoft YaHei UI" w:hAnsi="Microsoft YaHei UI"/>
          <w:sz w:val="31"/>
        </w:rPr>
        <w:t>因国家重点工程建设、公共利益等原因确需调整建设用地性质或者用途的，应当征求教育主管部门同意，并按照不少于原规划中小学校、幼儿园建设用地有效面积的土地予以置换。置换的中小学校、幼儿园建设用地应当符合国家和自治区的相关规定。</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现有公办中小学校、幼儿园停办、合并、分立或者搬迁，需要对建设用地进行调整的，由市、旗区人民政府教育主管部门会同自然资源、财政等有关部门根据中小学校、幼儿园布局专项规划提出调整方案，报本级人民政府批准。</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中小学校、幼儿园校门口规划应当满足学生治安安全、交通安全、接送便捷和应急疏散需要，合理设置家长接送区和临时停车位。条件允许的，应当规划建设停车场。</w:t>
      </w:r>
    </w:p>
    <w:p>
      <w:pPr>
        <w:pStyle w:val="P1"/>
        <w:spacing w:lineRule="exact" w:line="600"/>
        <w:ind w:firstLine="620"/>
        <w:rPr>
          <w:rStyle w:val="C3"/>
          <w:rFonts w:ascii="仿宋_GB2312" w:hAnsi="仿宋_GB2312"/>
          <w:sz w:val="31"/>
        </w:rPr>
      </w:pPr>
      <w:r>
        <w:rPr>
          <w:rStyle w:val="C3"/>
          <w:rFonts w:ascii="Microsoft YaHei UI" w:hAnsi="Microsoft YaHei UI"/>
          <w:sz w:val="31"/>
        </w:rPr>
        <w:t>在中小学校、幼儿园周边进行规划建设，应当遵守下列规定：</w:t>
      </w:r>
    </w:p>
    <w:p>
      <w:pPr>
        <w:pStyle w:val="P1"/>
        <w:spacing w:lineRule="exact" w:line="600"/>
        <w:ind w:firstLine="620"/>
        <w:rPr>
          <w:rStyle w:val="C3"/>
          <w:rFonts w:ascii="仿宋_GB2312" w:hAnsi="仿宋_GB2312"/>
          <w:sz w:val="31"/>
        </w:rPr>
      </w:pPr>
      <w:r>
        <w:rPr>
          <w:rStyle w:val="C3"/>
          <w:rFonts w:ascii="Microsoft YaHei UI" w:hAnsi="Microsoft YaHei UI"/>
          <w:sz w:val="31"/>
        </w:rPr>
        <w:t>（一）周边</w:t>
      </w:r>
      <w:r>
        <w:rPr>
          <w:rStyle w:val="C3"/>
          <w:rFonts w:ascii="仿宋_GB2312" w:hAnsi="仿宋_GB2312"/>
          <w:sz w:val="31"/>
        </w:rPr>
        <w:t>1000</w:t>
      </w:r>
      <w:r>
        <w:rPr>
          <w:rStyle w:val="C3"/>
          <w:rFonts w:ascii="Microsoft YaHei UI" w:hAnsi="Microsoft YaHei UI"/>
          <w:sz w:val="31"/>
        </w:rPr>
        <w:t>米范围内，不得建设殡仪馆、污水处理厂、垃圾填埋场；</w:t>
      </w:r>
    </w:p>
    <w:p>
      <w:pPr>
        <w:pStyle w:val="P1"/>
        <w:spacing w:lineRule="exact" w:line="600"/>
        <w:ind w:firstLine="620"/>
        <w:rPr>
          <w:rStyle w:val="C3"/>
          <w:rFonts w:ascii="仿宋_GB2312" w:hAnsi="仿宋_GB2312"/>
          <w:sz w:val="31"/>
        </w:rPr>
      </w:pPr>
      <w:r>
        <w:rPr>
          <w:rStyle w:val="C3"/>
          <w:rFonts w:ascii="Microsoft YaHei UI" w:hAnsi="Microsoft YaHei UI"/>
          <w:sz w:val="31"/>
        </w:rPr>
        <w:t>（二）周边</w:t>
      </w:r>
      <w:r>
        <w:rPr>
          <w:rStyle w:val="C3"/>
          <w:rFonts w:ascii="仿宋_GB2312" w:hAnsi="仿宋_GB2312"/>
          <w:sz w:val="31"/>
        </w:rPr>
        <w:t>500</w:t>
      </w:r>
      <w:r>
        <w:rPr>
          <w:rStyle w:val="C3"/>
          <w:rFonts w:ascii="Microsoft YaHei UI" w:hAnsi="Microsoft YaHei UI"/>
          <w:sz w:val="31"/>
        </w:rPr>
        <w:t>米范围内，不得建设看守所、强制戒毒所、监狱等羁押场所；</w:t>
      </w:r>
    </w:p>
    <w:p>
      <w:pPr>
        <w:pStyle w:val="P1"/>
        <w:spacing w:lineRule="exact" w:line="600"/>
        <w:ind w:firstLine="620"/>
        <w:rPr>
          <w:rStyle w:val="C3"/>
          <w:rFonts w:ascii="仿宋_GB2312" w:hAnsi="仿宋_GB2312"/>
          <w:sz w:val="31"/>
        </w:rPr>
      </w:pPr>
      <w:r>
        <w:rPr>
          <w:rStyle w:val="C3"/>
          <w:rFonts w:ascii="Microsoft YaHei UI" w:hAnsi="Microsoft YaHei UI"/>
          <w:sz w:val="31"/>
        </w:rPr>
        <w:t>（三）周边</w:t>
      </w:r>
      <w:r>
        <w:rPr>
          <w:rStyle w:val="C3"/>
          <w:rFonts w:ascii="仿宋_GB2312" w:hAnsi="仿宋_GB2312"/>
          <w:sz w:val="31"/>
        </w:rPr>
        <w:t>300</w:t>
      </w:r>
      <w:r>
        <w:rPr>
          <w:rStyle w:val="C3"/>
          <w:rFonts w:ascii="Microsoft YaHei UI" w:hAnsi="Microsoft YaHei UI"/>
          <w:sz w:val="31"/>
        </w:rPr>
        <w:t>米范围内，不得建设车站、集贸市场等嘈杂场所；</w:t>
      </w:r>
    </w:p>
    <w:p>
      <w:pPr>
        <w:pStyle w:val="P1"/>
        <w:spacing w:lineRule="exact" w:line="600"/>
        <w:ind w:firstLine="620"/>
        <w:rPr>
          <w:rStyle w:val="C3"/>
          <w:rFonts w:ascii="仿宋_GB2312" w:hAnsi="仿宋_GB2312"/>
          <w:sz w:val="31"/>
        </w:rPr>
      </w:pPr>
      <w:r>
        <w:rPr>
          <w:rStyle w:val="C3"/>
          <w:rFonts w:ascii="Microsoft YaHei UI" w:hAnsi="Microsoft YaHei UI"/>
          <w:sz w:val="31"/>
        </w:rPr>
        <w:t>（四）周边</w:t>
      </w:r>
      <w:r>
        <w:rPr>
          <w:rStyle w:val="C3"/>
          <w:rFonts w:ascii="仿宋_GB2312" w:hAnsi="仿宋_GB2312"/>
          <w:sz w:val="31"/>
        </w:rPr>
        <w:t>200</w:t>
      </w:r>
      <w:r>
        <w:rPr>
          <w:rStyle w:val="C3"/>
          <w:rFonts w:ascii="Microsoft YaHei UI" w:hAnsi="Microsoft YaHei UI"/>
          <w:sz w:val="31"/>
        </w:rPr>
        <w:t>米范围内，不得设立互联网上网服务营业场所、营业性电子游艺娱乐场所、歌舞娱乐场所等影响正常教学秩序和青少年身心健康的经营性场所；</w:t>
      </w:r>
    </w:p>
    <w:p>
      <w:pPr>
        <w:pStyle w:val="P1"/>
        <w:spacing w:lineRule="exact" w:line="600"/>
        <w:ind w:firstLine="620"/>
        <w:rPr>
          <w:rStyle w:val="C3"/>
          <w:rFonts w:ascii="仿宋_GB2312" w:hAnsi="仿宋_GB2312"/>
          <w:sz w:val="31"/>
        </w:rPr>
      </w:pPr>
      <w:r>
        <w:rPr>
          <w:rStyle w:val="C3"/>
          <w:rFonts w:ascii="Microsoft YaHei UI" w:hAnsi="Microsoft YaHei UI"/>
          <w:sz w:val="31"/>
        </w:rPr>
        <w:t>（五）长输天然气管道、输油管道、架空高压输电线、高压电缆等不得穿越或者跨越中小学校、幼儿园；</w:t>
      </w:r>
    </w:p>
    <w:p>
      <w:pPr>
        <w:pStyle w:val="P1"/>
        <w:spacing w:lineRule="exact" w:line="600"/>
        <w:ind w:firstLine="620"/>
        <w:rPr>
          <w:rStyle w:val="C3"/>
          <w:rFonts w:ascii="仿宋_GB2312" w:hAnsi="仿宋_GB2312"/>
          <w:sz w:val="31"/>
        </w:rPr>
      </w:pPr>
      <w:r>
        <w:rPr>
          <w:rStyle w:val="C3"/>
          <w:rFonts w:ascii="Microsoft YaHei UI" w:hAnsi="Microsoft YaHei UI"/>
          <w:sz w:val="31"/>
        </w:rPr>
        <w:t>（六）易燃易爆、剧毒、放射性、腐蚀性等危险物品的生产、经营、储存、使用场所或者设施，与中小学校、幼儿园的间隔距离应当符合国家和自治区有关规定；</w:t>
      </w:r>
    </w:p>
    <w:p>
      <w:pPr>
        <w:pStyle w:val="P1"/>
        <w:spacing w:lineRule="exact" w:line="600"/>
        <w:ind w:firstLine="620"/>
        <w:rPr>
          <w:rStyle w:val="C3"/>
          <w:rFonts w:ascii="仿宋_GB2312" w:hAnsi="仿宋_GB2312"/>
          <w:sz w:val="31"/>
        </w:rPr>
      </w:pPr>
      <w:r>
        <w:rPr>
          <w:rStyle w:val="C3"/>
          <w:rFonts w:ascii="Microsoft YaHei UI" w:hAnsi="Microsoft YaHei UI"/>
          <w:sz w:val="31"/>
        </w:rPr>
        <w:t>（七）未经批准不得在中小学校、幼儿园围墙外倚建各种建筑物、构筑物和其他设施；</w:t>
      </w:r>
    </w:p>
    <w:p>
      <w:pPr>
        <w:pStyle w:val="P1"/>
        <w:spacing w:lineRule="exact" w:line="600"/>
        <w:ind w:firstLine="620"/>
        <w:rPr>
          <w:rStyle w:val="C3"/>
          <w:rFonts w:ascii="仿宋_GB2312" w:hAnsi="仿宋_GB2312"/>
          <w:sz w:val="31"/>
        </w:rPr>
      </w:pPr>
      <w:r>
        <w:rPr>
          <w:rStyle w:val="C3"/>
          <w:rFonts w:ascii="Microsoft YaHei UI" w:hAnsi="Microsoft YaHei UI"/>
          <w:sz w:val="31"/>
        </w:rPr>
        <w:t>（八）不得进行其他可能影响中小学校、幼儿园教学秩序和安全的规划建设活动。</w:t>
      </w:r>
    </w:p>
    <w:p>
      <w:pPr>
        <w:pStyle w:val="P1"/>
        <w:spacing w:lineRule="exact" w:line="600" w:before="312" w:after="312"/>
        <w:jc w:val="center"/>
        <w:rPr>
          <w:rStyle w:val="C3"/>
          <w:rFonts w:ascii="黑体" w:hAnsi="黑体"/>
          <w:sz w:val="31"/>
        </w:rPr>
      </w:pPr>
      <w:r>
        <w:rPr>
          <w:rStyle w:val="C3"/>
          <w:rFonts w:ascii="黑体" w:hAnsi="黑体"/>
          <w:sz w:val="31"/>
        </w:rPr>
        <w:t>第三章　建　设</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市、旗区人民政府应当根据城镇国土空间详细规划和中小学校、幼儿园布局专项规划，有计划地建设中小学校、幼儿园，确保本辖区内适龄少年、儿童就近入学、入园。</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市、旗区人民政府教育主管部门应当会同发展和改革、财政等有关部门，提出中小学校、幼儿园年度建设计划，报请本级人民政府列入政府投资年度计划。</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市、旗区人民政府财政部门应当将中小学校、幼儿园建设资金列入财政预算，并及时、足额拨付到位。</w:t>
      </w:r>
    </w:p>
    <w:p>
      <w:pPr>
        <w:pStyle w:val="P1"/>
        <w:spacing w:lineRule="exact" w:line="600"/>
        <w:ind w:firstLine="620"/>
        <w:rPr>
          <w:rStyle w:val="C3"/>
          <w:rFonts w:ascii="仿宋_GB2312" w:hAnsi="仿宋_GB2312"/>
          <w:sz w:val="31"/>
        </w:rPr>
      </w:pPr>
      <w:r>
        <w:rPr>
          <w:rStyle w:val="C3"/>
          <w:rFonts w:ascii="Microsoft YaHei UI" w:hAnsi="Microsoft YaHei UI"/>
          <w:sz w:val="31"/>
        </w:rPr>
        <w:t>任何组织或者个人不得侵占、截留或者挪用中小学校、幼儿园建设资金。</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市、旗区人民政府实行中小学校、幼儿园建设项目并联审批制度，发展和改革、自然资源、住房和城乡建设、财政等部门应当为列入年度建设计划的中小学校、幼儿园建设项目及时办理相关手续。</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支持、鼓励社会力量捐资、投资建设中小学校、幼儿园，并保障其建设用地。</w:t>
      </w:r>
      <w:r>
        <w:rPr>
          <w:rStyle w:val="C3"/>
          <w:rFonts w:ascii="仿宋_GB2312" w:hAnsi="仿宋_GB2312"/>
          <w:sz w:val="31"/>
        </w:rPr>
        <w:t xml:space="preserve"> </w:t>
      </w:r>
    </w:p>
    <w:p>
      <w:pPr>
        <w:pStyle w:val="P1"/>
        <w:spacing w:lineRule="exact" w:line="600"/>
        <w:ind w:firstLine="620"/>
        <w:rPr>
          <w:rStyle w:val="C3"/>
          <w:rFonts w:ascii="仿宋_GB2312" w:hAnsi="仿宋_GB2312"/>
          <w:sz w:val="31"/>
        </w:rPr>
      </w:pPr>
      <w:r>
        <w:rPr>
          <w:rStyle w:val="C3"/>
          <w:rFonts w:ascii="Microsoft YaHei UI" w:hAnsi="Microsoft YaHei UI"/>
          <w:sz w:val="31"/>
        </w:rPr>
        <w:t>非营利性民办中小学校、幼儿园建设用地，应当按照与公办学校同等原则，以划拨方式供地。</w:t>
      </w:r>
    </w:p>
    <w:p>
      <w:pPr>
        <w:pStyle w:val="P1"/>
        <w:spacing w:lineRule="exact" w:line="600"/>
        <w:ind w:firstLine="620"/>
        <w:rPr>
          <w:rStyle w:val="C3"/>
          <w:rFonts w:ascii="仿宋_GB2312" w:hAnsi="仿宋_GB2312"/>
          <w:sz w:val="31"/>
        </w:rPr>
      </w:pPr>
      <w:r>
        <w:rPr>
          <w:rStyle w:val="C3"/>
          <w:rFonts w:ascii="Microsoft YaHei UI" w:hAnsi="Microsoft YaHei UI"/>
          <w:sz w:val="31"/>
        </w:rPr>
        <w:t>营利性民办中小学校、幼儿园建设用地，应当依照国家规定以出让方式供地。</w:t>
      </w:r>
      <w:r>
        <w:rPr>
          <w:rStyle w:val="C3"/>
          <w:rFonts w:ascii="仿宋_GB2312" w:hAnsi="仿宋_GB2312"/>
          <w:sz w:val="31"/>
        </w:rPr>
        <w:t xml:space="preserve"> </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新建、改建、扩建或者重建中小学校、幼儿园，应当充分考虑教育教学需要和中小学生、学龄前儿童使用特点，满足下列条件：</w:t>
      </w:r>
    </w:p>
    <w:p>
      <w:pPr>
        <w:pStyle w:val="P1"/>
        <w:spacing w:lineRule="exact" w:line="600"/>
        <w:ind w:firstLine="620"/>
        <w:rPr>
          <w:rStyle w:val="C3"/>
          <w:rFonts w:ascii="仿宋_GB2312" w:hAnsi="仿宋_GB2312"/>
          <w:sz w:val="31"/>
        </w:rPr>
      </w:pPr>
      <w:r>
        <w:rPr>
          <w:rStyle w:val="C3"/>
          <w:rFonts w:ascii="Microsoft YaHei UI" w:hAnsi="Microsoft YaHei UI"/>
          <w:sz w:val="31"/>
        </w:rPr>
        <w:t>（一）符合国家和自治区规定的设计、建设标准和规范，达到建筑工程质量、消防、抗震、防雷、环保、节能、日照、卫生、通风、安全等标准和规范的要求；</w:t>
      </w:r>
    </w:p>
    <w:p>
      <w:pPr>
        <w:pStyle w:val="P1"/>
        <w:spacing w:lineRule="exact" w:line="600"/>
        <w:ind w:firstLine="620"/>
        <w:rPr>
          <w:rStyle w:val="C3"/>
          <w:rFonts w:ascii="仿宋_GB2312" w:hAnsi="仿宋_GB2312"/>
          <w:sz w:val="31"/>
        </w:rPr>
      </w:pPr>
      <w:r>
        <w:rPr>
          <w:rStyle w:val="C3"/>
          <w:rFonts w:ascii="Microsoft YaHei UI" w:hAnsi="Microsoft YaHei UI"/>
          <w:sz w:val="31"/>
        </w:rPr>
        <w:t>（二）按照国家规范配置无障碍设施，保障残疾学生、学龄前儿童的使用和安全；</w:t>
      </w:r>
    </w:p>
    <w:p>
      <w:pPr>
        <w:pStyle w:val="P1"/>
        <w:spacing w:lineRule="exact" w:line="600"/>
        <w:ind w:firstLine="620"/>
        <w:rPr>
          <w:rStyle w:val="C3"/>
          <w:rFonts w:ascii="仿宋_GB2312" w:hAnsi="仿宋_GB2312"/>
          <w:sz w:val="31"/>
        </w:rPr>
      </w:pPr>
      <w:r>
        <w:rPr>
          <w:rStyle w:val="C3"/>
          <w:rFonts w:ascii="Microsoft YaHei UI" w:hAnsi="Microsoft YaHei UI"/>
          <w:sz w:val="31"/>
        </w:rPr>
        <w:t>（三）充分考虑现代教育的发展趋势，预留足够的信息技术设施、设备升级和智能化建设所需的空间；</w:t>
      </w:r>
    </w:p>
    <w:p>
      <w:pPr>
        <w:pStyle w:val="P1"/>
        <w:spacing w:lineRule="exact" w:line="600"/>
        <w:ind w:firstLine="620"/>
        <w:rPr>
          <w:rStyle w:val="C3"/>
          <w:rFonts w:ascii="仿宋_GB2312" w:hAnsi="仿宋_GB2312"/>
          <w:sz w:val="31"/>
        </w:rPr>
      </w:pPr>
      <w:r>
        <w:rPr>
          <w:rStyle w:val="C3"/>
          <w:rFonts w:ascii="Microsoft YaHei UI" w:hAnsi="Microsoft YaHei UI"/>
          <w:sz w:val="31"/>
        </w:rPr>
        <w:t>（四）法律、法规规定的其他条件。</w:t>
      </w:r>
    </w:p>
    <w:p>
      <w:pPr>
        <w:pStyle w:val="P1"/>
        <w:spacing w:lineRule="exact" w:line="600"/>
        <w:ind w:firstLine="620"/>
        <w:rPr>
          <w:rStyle w:val="C3"/>
          <w:rFonts w:ascii="仿宋_GB2312" w:hAnsi="仿宋_GB2312"/>
          <w:sz w:val="31"/>
        </w:rPr>
      </w:pPr>
      <w:r>
        <w:rPr>
          <w:rStyle w:val="C3"/>
          <w:rFonts w:ascii="Microsoft YaHei UI" w:hAnsi="Microsoft YaHei UI"/>
          <w:sz w:val="31"/>
        </w:rPr>
        <w:t>现有中小学校、幼儿园的改建、扩建或者重建应当安排在假期和休息日进行，严禁课间施工；情况紧急需要施工的，可以安排学生放假或者采取必要的隔离防护措施，保障师生安全。</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新建居民住宅区规划建设的中小学校、幼儿园应当与居民住宅区同步规划、同步设计、同步建设、同步验收、同步交付使用。</w:t>
      </w:r>
    </w:p>
    <w:p>
      <w:pPr>
        <w:pStyle w:val="P1"/>
        <w:spacing w:lineRule="exact" w:line="600"/>
        <w:ind w:firstLine="620"/>
        <w:rPr>
          <w:rStyle w:val="C3"/>
          <w:rFonts w:ascii="仿宋_GB2312" w:hAnsi="仿宋_GB2312"/>
          <w:sz w:val="31"/>
        </w:rPr>
      </w:pPr>
      <w:r>
        <w:rPr>
          <w:rStyle w:val="C3"/>
          <w:rFonts w:ascii="Microsoft YaHei UI" w:hAnsi="Microsoft YaHei UI"/>
          <w:sz w:val="31"/>
        </w:rPr>
        <w:t>分期开发建设的居民住宅区规划建设的中小学校、幼儿园应当与首期开发建设的居民住宅区同步规划、同步设计、同步建设、同步验收、同步交付使用。</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新建居民住宅区未按照中小学校、幼儿园布局专项规划和土地出让合同设计中小学校、幼儿园的，发展和改革部门不予立项，自然资源部门不得办理规划手续，住房和城乡建设部门不得办理施工许可手续。</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中小学校、幼儿园的建设可以采用政府统筹建设、开发建设单位配套建设等方式进行。</w:t>
      </w:r>
    </w:p>
    <w:p>
      <w:pPr>
        <w:pStyle w:val="P1"/>
        <w:spacing w:lineRule="exact" w:line="600"/>
        <w:ind w:firstLine="620"/>
        <w:rPr>
          <w:rStyle w:val="C3"/>
          <w:rFonts w:ascii="仿宋_GB2312" w:hAnsi="仿宋_GB2312"/>
          <w:sz w:val="31"/>
        </w:rPr>
      </w:pPr>
      <w:r>
        <w:rPr>
          <w:rStyle w:val="C3"/>
          <w:rFonts w:ascii="Microsoft YaHei UI" w:hAnsi="Microsoft YaHei UI"/>
          <w:sz w:val="31"/>
        </w:rPr>
        <w:t>开发建设单位配套建设的，自然资源部门应当将配套建设中小学校、幼儿园的用地面积、建筑面积等指标纳入建设用地规划条件一并公告。</w:t>
      </w:r>
    </w:p>
    <w:p>
      <w:pPr>
        <w:pStyle w:val="P1"/>
        <w:spacing w:lineRule="exact" w:line="600"/>
        <w:ind w:firstLine="620"/>
        <w:rPr>
          <w:rStyle w:val="C3"/>
          <w:rFonts w:ascii="仿宋_GB2312" w:hAnsi="仿宋_GB2312"/>
          <w:sz w:val="31"/>
        </w:rPr>
      </w:pPr>
      <w:r>
        <w:rPr>
          <w:rStyle w:val="C3"/>
          <w:rFonts w:ascii="Microsoft YaHei UI" w:hAnsi="Microsoft YaHei UI"/>
          <w:sz w:val="31"/>
        </w:rPr>
        <w:t>自然资源部门与开发建设单位签订国有土地使用权出让合同时，应当明确配套建设中小学校、幼儿园的建设位置、用地面积、建设规模、建设标准、建设工期、交付使用、产权归属、补偿措施、移交方式以及违约责任等内容。自然资源、住房和城乡建设、教育主管等部门应当监督开发建设单位全面履行相关协议。</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居民住宅区竣工验收时，配套建设的中小学校、幼儿园不符合规划条件、设计方案、相关标准和土地出让合同约定要求的，相关部门不得办理验收手续。</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配套建设的中小学校竣工备案后，合同约定移交教育主管部门管理使用的，应当及时移交。</w:t>
      </w:r>
    </w:p>
    <w:p>
      <w:pPr>
        <w:pStyle w:val="P1"/>
        <w:spacing w:lineRule="exact" w:line="600"/>
        <w:ind w:firstLine="620"/>
        <w:rPr>
          <w:rStyle w:val="C3"/>
          <w:rFonts w:ascii="仿宋_GB2312" w:hAnsi="仿宋_GB2312"/>
          <w:sz w:val="31"/>
        </w:rPr>
      </w:pPr>
      <w:r>
        <w:rPr>
          <w:rStyle w:val="C3"/>
          <w:rFonts w:ascii="Microsoft YaHei UI" w:hAnsi="Microsoft YaHei UI"/>
          <w:sz w:val="31"/>
        </w:rPr>
        <w:t>配套建设的幼儿园竣工备案后，应当及时移交教育主管部门管理使用。</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住房和城乡建设、公安、城市管理综合执法等有关部门，应当在中小学校、幼儿园门前设置相应的安全设施以及规范的警告、限速、禁鸣、慢行、让行等交通标志、标线，确保中小学生和学龄前儿童安全通行。</w:t>
      </w:r>
    </w:p>
    <w:p>
      <w:pPr>
        <w:pStyle w:val="P1"/>
        <w:spacing w:lineRule="exact" w:line="600"/>
        <w:ind w:firstLine="620"/>
        <w:rPr>
          <w:rStyle w:val="C3"/>
          <w:rFonts w:ascii="仿宋_GB2312" w:hAnsi="仿宋_GB2312"/>
          <w:sz w:val="31"/>
        </w:rPr>
      </w:pPr>
      <w:r>
        <w:rPr>
          <w:rStyle w:val="C3"/>
          <w:rFonts w:ascii="Microsoft YaHei UI" w:hAnsi="Microsoft YaHei UI"/>
          <w:sz w:val="31"/>
        </w:rPr>
        <w:t>中小学校、幼儿园校门面向公路或者城市主要道路，车流量较大的，应当根据需要在该路段修建过街天桥或者地下通道。</w:t>
      </w:r>
    </w:p>
    <w:p>
      <w:pPr>
        <w:pStyle w:val="P1"/>
        <w:spacing w:lineRule="exact" w:line="600"/>
        <w:ind w:firstLine="620"/>
        <w:rPr>
          <w:rStyle w:val="C3"/>
          <w:rFonts w:ascii="仿宋_GB2312" w:hAnsi="仿宋_GB2312"/>
          <w:sz w:val="31"/>
        </w:rPr>
      </w:pPr>
      <w:r>
        <w:rPr>
          <w:rStyle w:val="C3"/>
          <w:rFonts w:ascii="Microsoft YaHei UI" w:hAnsi="Microsoft YaHei UI"/>
          <w:sz w:val="31"/>
        </w:rPr>
        <w:t>校内、园内建设机动车停车场、停车位的，校内、园内道路应当实行人车分行，分别设立人行通道和机动车通道，保障师生安全。</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捐资兴建的中小学校、幼儿园确需撤并、拆除或者改变用途的，应当征得捐赠人的同意。</w:t>
      </w:r>
    </w:p>
    <w:p>
      <w:pPr>
        <w:pStyle w:val="P1"/>
        <w:spacing w:lineRule="exact" w:line="600" w:before="312" w:after="312"/>
        <w:jc w:val="center"/>
        <w:rPr>
          <w:rStyle w:val="C3"/>
          <w:rFonts w:ascii="黑体" w:hAnsi="黑体"/>
          <w:sz w:val="31"/>
        </w:rPr>
      </w:pPr>
      <w:r>
        <w:rPr>
          <w:rStyle w:val="C3"/>
          <w:rFonts w:ascii="黑体" w:hAnsi="黑体"/>
          <w:sz w:val="31"/>
        </w:rPr>
        <w:t>第四章　法律责任</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违反本条例第十四条第二款第七项规定，未经批准在中小学校、幼儿园围墙外倚建建筑物、构筑物和其他设施的，由市、旗区人民政府城市管理综合执法主管部门或者苏木乡镇人民政府责令停止建设、限期拆除。</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开发建设单位未按照规划配套建设中小学校、幼儿园的，由市、旗区人民政府有关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有关部门及其工作人员有玩忽职守、滥用职权、徇私舞弊行为的，对直接负责的主管人员和其他直接责任人员依法给予处分；构成犯罪的，依法追究刑事责任。</w:t>
      </w:r>
    </w:p>
    <w:p>
      <w:pPr>
        <w:pStyle w:val="P1"/>
        <w:spacing w:lineRule="exact" w:line="600"/>
        <w:ind w:firstLine="620"/>
        <w:rPr>
          <w:rStyle w:val="C3"/>
          <w:rFonts w:ascii="仿宋_GB2312" w:hAnsi="仿宋_GB2312"/>
          <w:sz w:val="31"/>
        </w:rPr>
      </w:pPr>
    </w:p>
    <w:p>
      <w:pPr>
        <w:pStyle w:val="P1"/>
        <w:numPr>
          <w:ilvl w:val="0"/>
          <w:numId w:val="1"/>
        </w:numPr>
        <w:spacing w:lineRule="exact" w:line="600"/>
        <w:jc w:val="center"/>
        <w:rPr>
          <w:rStyle w:val="C3"/>
          <w:rFonts w:ascii="黑体" w:hAnsi="黑体"/>
          <w:sz w:val="31"/>
        </w:rPr>
      </w:pPr>
      <w:r>
        <w:rPr>
          <w:rStyle w:val="C3"/>
          <w:rFonts w:ascii="黑体" w:hAnsi="黑体"/>
          <w:sz w:val="31"/>
        </w:rPr>
        <w:t>附　则</w:t>
      </w:r>
    </w:p>
    <w:p>
      <w:pPr>
        <w:pStyle w:val="P1"/>
        <w:spacing w:before="62"/>
        <w:ind w:firstLine="775" w:right="120"/>
        <w:jc w:val="both"/>
        <w:rPr>
          <w:rStyle w:val="C3"/>
          <w:color w:val="000000"/>
        </w:rPr>
      </w:pPr>
      <w:r>
        <w:rPr>
          <w:rStyle w:val="C3"/>
          <w:rFonts w:ascii="黑体" w:hAnsi="黑体"/>
          <w:sz w:val="31"/>
        </w:rPr>
        <w:t>第三十一条</w:t>
      </w:r>
      <w:r>
        <w:rPr>
          <w:rStyle w:val="C3"/>
          <w:rFonts w:ascii="Microsoft YaHei UI" w:hAnsi="Microsoft YaHei UI"/>
          <w:sz w:val="31"/>
        </w:rPr>
        <w:t>　本条例自</w:t>
      </w:r>
      <w:r>
        <w:rPr>
          <w:rStyle w:val="C3"/>
          <w:rFonts w:ascii="仿宋_GB2312" w:hAnsi="仿宋_GB2312"/>
          <w:sz w:val="31"/>
        </w:rPr>
        <w:t>2021</w:t>
      </w:r>
      <w:r>
        <w:rPr>
          <w:rStyle w:val="C3"/>
          <w:rFonts w:ascii="Microsoft YaHei UI" w:hAnsi="Microsoft YaHei UI"/>
          <w:sz w:val="31"/>
        </w:rPr>
        <w:t>年</w:t>
      </w:r>
      <w:r>
        <w:rPr>
          <w:rStyle w:val="C3"/>
          <w:rFonts w:ascii="仿宋_GB2312" w:hAnsi="仿宋_GB2312"/>
          <w:sz w:val="31"/>
        </w:rPr>
        <w:t>3</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BF9D486F"/>
    <w:multiLevelType w:val="multilevel"/>
    <w:lvl w:ilvl="0">
      <w:start w:val="5"/>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2021-10-19T16:15:00Z</dcterms:created>
  <cp:lastModifiedBy>f1TZOF\f1TZOF-</cp:lastModifiedBy>
  <cp:lastPrinted>2021-10-20T15:43:00Z</cp:lastPrinted>
  <dcterms:modified xsi:type="dcterms:W3CDTF">2024-08-28T01:37:25Z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