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CA83BD" Type="http://schemas.openxmlformats.org/officeDocument/2006/relationships/officeDocument" Target="/word/document.xml" /><Relationship Id="coreR57CA83BD" Type="http://schemas.openxmlformats.org/package/2006/relationships/metadata/core-properties" Target="/docProps/core.xml" /><Relationship Id="customR57CA83B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uppressLineNumbers w:val="0"/>
        <w:spacing w:lineRule="exact" w:line="600" w:afterAutospacing="0"/>
        <w:ind w:firstLine="0" w:left="0" w:right="0"/>
        <w:jc w:val="both"/>
        <w:rPr>
          <w:rStyle w:val="C3"/>
          <w:rFonts w:ascii="仿宋" w:hAnsi="仿宋"/>
          <w:b w:val="1"/>
          <w:sz w:val="32"/>
        </w:rPr>
      </w:pPr>
    </w:p>
    <w:p>
      <w:pPr>
        <w:pStyle w:val="P1"/>
        <w:keepNext w:val="0"/>
        <w:keepLines w:val="0"/>
        <w:widowControl w:val="1"/>
        <w:suppressLineNumbers w:val="0"/>
        <w:spacing w:lineRule="exact" w:line="600" w:afterAutospacing="0"/>
        <w:ind w:firstLine="0" w:left="0" w:right="0"/>
        <w:jc w:val="center"/>
        <w:rPr>
          <w:rStyle w:val="C3"/>
          <w:rFonts w:ascii="方正小标宋简体" w:hAnsi="方正小标宋简体"/>
          <w:b w:val="0"/>
          <w:sz w:val="44"/>
        </w:rPr>
      </w:pPr>
      <w:r>
        <w:rPr>
          <w:rStyle w:val="C3"/>
          <w:rFonts w:ascii="宋体" w:hAnsi="宋体"/>
          <w:b w:val="0"/>
          <w:sz w:val="44"/>
        </w:rPr>
        <w:t>黑龙江南瓮河国家级自然保护区保护条例</w:t>
      </w:r>
    </w:p>
    <w:p>
      <w:pPr>
        <w:pStyle w:val="P1"/>
        <w:keepNext w:val="0"/>
        <w:keepLines w:val="0"/>
        <w:widowControl w:val="1"/>
        <w:suppressLineNumbers w:val="0"/>
        <w:spacing w:lineRule="exact" w:line="600" w:afterAutospacing="0"/>
        <w:ind w:firstLine="643" w:left="0" w:right="0"/>
        <w:jc w:val="both"/>
        <w:rPr>
          <w:rStyle w:val="C3"/>
          <w:rFonts w:ascii="仿宋" w:hAnsi="仿宋"/>
          <w:b w:val="1"/>
          <w:sz w:val="32"/>
        </w:rPr>
      </w:pPr>
    </w:p>
    <w:p>
      <w:pPr>
        <w:pStyle w:val="P1"/>
        <w:keepNext w:val="0"/>
        <w:keepLines w:val="0"/>
        <w:widowControl w:val="1"/>
        <w:suppressLineNumbers w:val="0"/>
        <w:spacing w:lineRule="exact" w:line="600" w:afterAutospacing="0"/>
        <w:ind w:firstLine="640" w:left="0" w:right="0"/>
        <w:jc w:val="both"/>
        <w:rPr>
          <w:rStyle w:val="C3"/>
          <w:rFonts w:ascii="仿宋" w:hAnsi="仿宋"/>
          <w:sz w:val="32"/>
        </w:rPr>
      </w:pPr>
      <w:r>
        <w:rPr>
          <w:rStyle w:val="C3"/>
          <w:rFonts w:ascii="仿宋" w:hAnsi="仿宋"/>
          <w:sz w:val="32"/>
        </w:rPr>
        <w:t xml:space="preserve">（2009年4月9日黑龙江省第十一届人民代表大会常务委员会第九次会议通过  </w:t>
      </w:r>
      <w:r>
        <w:rPr>
          <w:rStyle w:val="C3"/>
          <w:rFonts w:ascii="Microsoft YaHei UI" w:hAnsi="Microsoft YaHei UI"/>
          <w:color w:val="auto"/>
          <w:sz w:val="32"/>
          <w:u w:val="none"/>
        </w:rPr>
        <w:t>根据</w:t>
      </w:r>
      <w:r>
        <w:rPr>
          <w:rStyle w:val="C3"/>
          <w:rFonts w:ascii="仿宋_GB2312" w:hAnsi="仿宋_GB2312"/>
          <w:color w:val="auto"/>
          <w:sz w:val="32"/>
          <w:shd w:val="clear" w:color="auto" w:fill="FFFFFF"/>
        </w:rPr>
        <w:t>2018</w:t>
      </w:r>
      <w:r>
        <w:rPr>
          <w:rStyle w:val="C3"/>
          <w:rFonts w:ascii="Microsoft YaHei UI" w:hAnsi="Microsoft YaHei UI"/>
          <w:color w:val="auto"/>
          <w:sz w:val="32"/>
          <w:shd w:val="clear" w:color="auto" w:fill="FFFFFF"/>
        </w:rPr>
        <w:t>年</w:t>
      </w:r>
      <w:r>
        <w:rPr>
          <w:rStyle w:val="C3"/>
          <w:rFonts w:ascii="仿宋_GB2312" w:hAnsi="仿宋_GB2312"/>
          <w:color w:val="auto"/>
          <w:sz w:val="32"/>
          <w:shd w:val="clear" w:color="auto" w:fill="FFFFFF"/>
        </w:rPr>
        <w:t>4</w:t>
      </w:r>
      <w:r>
        <w:rPr>
          <w:rStyle w:val="C3"/>
          <w:rFonts w:ascii="Microsoft YaHei UI" w:hAnsi="Microsoft YaHei UI"/>
          <w:color w:val="auto"/>
          <w:sz w:val="32"/>
          <w:shd w:val="clear" w:color="auto" w:fill="FFFFFF"/>
        </w:rPr>
        <w:t>月</w:t>
      </w:r>
      <w:r>
        <w:rPr>
          <w:rStyle w:val="C3"/>
          <w:rFonts w:ascii="仿宋_GB2312" w:hAnsi="仿宋_GB2312"/>
          <w:color w:val="auto"/>
          <w:sz w:val="32"/>
          <w:shd w:val="clear" w:color="auto" w:fill="FFFFFF"/>
        </w:rPr>
        <w:t>26</w:t>
      </w:r>
      <w:r>
        <w:rPr>
          <w:rStyle w:val="C3"/>
          <w:rFonts w:ascii="Microsoft YaHei UI" w:hAnsi="Microsoft YaHei UI"/>
          <w:color w:val="auto"/>
          <w:sz w:val="32"/>
          <w:shd w:val="clear" w:color="auto" w:fill="FFFFFF"/>
        </w:rPr>
        <w:t>日黑龙江省第十三届人民代表大会常务委员会第三次会议《黑龙江省人民代表大会常务委员会关于修改</w:t>
      </w:r>
      <w:r>
        <w:rPr>
          <w:rStyle w:val="C3"/>
          <w:rFonts w:ascii="Microsoft YaHei UI" w:hAnsi="Microsoft YaHei UI"/>
          <w:color w:val="auto"/>
          <w:sz w:val="32"/>
        </w:rPr>
        <w:t>〈黑龙江丰林国家级自然保护区管理条例〉等</w:t>
      </w:r>
      <w:r>
        <w:rPr>
          <w:rStyle w:val="C3"/>
          <w:rFonts w:ascii="仿宋_GB2312" w:hAnsi="仿宋_GB2312"/>
          <w:color w:val="auto"/>
          <w:sz w:val="32"/>
        </w:rPr>
        <w:t>5</w:t>
      </w:r>
      <w:r>
        <w:rPr>
          <w:rStyle w:val="C3"/>
          <w:rFonts w:ascii="Microsoft YaHei UI" w:hAnsi="Microsoft YaHei UI"/>
          <w:color w:val="auto"/>
          <w:sz w:val="32"/>
        </w:rPr>
        <w:t>部地方性法规的决定</w:t>
      </w:r>
      <w:r>
        <w:rPr>
          <w:rStyle w:val="C3"/>
          <w:rFonts w:ascii="Microsoft YaHei UI" w:hAnsi="Microsoft YaHei UI"/>
          <w:color w:val="auto"/>
          <w:sz w:val="32"/>
          <w:shd w:val="clear" w:color="auto" w:fill="FFFFFF"/>
        </w:rPr>
        <w:t>》修正</w:t>
      </w:r>
      <w:r>
        <w:rPr>
          <w:rStyle w:val="C3"/>
          <w:rFonts w:ascii="仿宋" w:hAnsi="仿宋"/>
          <w:sz w:val="32"/>
        </w:rPr>
        <w:t>）</w:t>
      </w:r>
    </w:p>
    <w:p>
      <w:pPr>
        <w:pStyle w:val="P1"/>
        <w:keepNext w:val="0"/>
        <w:keepLines w:val="0"/>
        <w:widowControl w:val="1"/>
        <w:suppressLineNumbers w:val="0"/>
        <w:spacing w:lineRule="exact" w:line="600" w:afterAutospacing="0"/>
        <w:ind w:firstLine="640" w:left="0" w:right="0"/>
        <w:jc w:val="both"/>
        <w:rPr>
          <w:rStyle w:val="C3"/>
          <w:rFonts w:ascii="仿宋" w:hAnsi="仿宋"/>
          <w:sz w:val="32"/>
        </w:rPr>
      </w:pPr>
      <w:r>
        <w:rPr>
          <w:rStyle w:val="C3"/>
          <w:rFonts w:ascii="仿宋" w:hAnsi="仿宋"/>
          <w:sz w:val="32"/>
        </w:rPr>
        <w:br w:type="textWrapping"/>
      </w:r>
      <w:bookmarkStart w:id="0" w:name="1"/>
      <w:r>
        <w:rPr>
          <w:rStyle w:val="C3"/>
          <w:rFonts w:ascii="仿宋" w:hAnsi="仿宋"/>
          <w:sz w:val="32"/>
        </w:rPr>
        <w:t>　　</w:t>
      </w:r>
      <w:r>
        <w:rPr>
          <w:rStyle w:val="C3"/>
          <w:rFonts w:ascii="黑体" w:hAnsi="黑体"/>
          <w:sz w:val="32"/>
        </w:rPr>
        <w:t>第一条</w:t>
      </w:r>
      <w:bookmarkEnd w:id="0"/>
      <w:r>
        <w:rPr>
          <w:rStyle w:val="C3"/>
          <w:rFonts w:ascii="仿宋" w:hAnsi="仿宋"/>
          <w:sz w:val="32"/>
        </w:rPr>
        <w:t xml:space="preserve">  为加强黑龙江南瓮河国家级自然保护区（以下简称保护区）的保护和管理，保持湿地生态系统功能和生物多样性，实现自然资源的可持续利用，维护嫩江源头及松花江流域水系安全，根据有关法律、法规，结合保护区实际，制定本条例。</w:t>
        <w:br w:type="textWrapping"/>
      </w:r>
      <w:bookmarkStart w:id="1" w:name="2"/>
      <w:r>
        <w:rPr>
          <w:rStyle w:val="C3"/>
          <w:rFonts w:ascii="仿宋" w:hAnsi="仿宋"/>
          <w:sz w:val="32"/>
        </w:rPr>
        <w:t>　　</w:t>
      </w:r>
      <w:r>
        <w:rPr>
          <w:rStyle w:val="C3"/>
          <w:rFonts w:ascii="黑体" w:hAnsi="黑体"/>
          <w:sz w:val="32"/>
        </w:rPr>
        <w:t>第二条</w:t>
      </w:r>
      <w:bookmarkEnd w:id="1"/>
      <w:r>
        <w:rPr>
          <w:rStyle w:val="C3"/>
          <w:rFonts w:ascii="仿宋" w:hAnsi="仿宋"/>
          <w:sz w:val="32"/>
        </w:rPr>
        <w:t xml:space="preserve">  保护区属于寒温带森林湿地生态系统类型，位于东经125°07'55″-125°50'05″，北纬51°05'07″-51°39'24″范围内，具体界限和面积以国家批准的文件为准。</w:t>
        <w:br w:type="textWrapping"/>
      </w:r>
      <w:bookmarkStart w:id="2" w:name="3"/>
      <w:r>
        <w:rPr>
          <w:rStyle w:val="C3"/>
          <w:rFonts w:ascii="仿宋" w:hAnsi="仿宋"/>
          <w:sz w:val="32"/>
        </w:rPr>
        <w:t>　　</w:t>
      </w:r>
      <w:r>
        <w:rPr>
          <w:rStyle w:val="C3"/>
          <w:rFonts w:ascii="黑体" w:hAnsi="黑体"/>
          <w:sz w:val="32"/>
        </w:rPr>
        <w:t>第三条</w:t>
      </w:r>
      <w:bookmarkEnd w:id="2"/>
      <w:r>
        <w:rPr>
          <w:rStyle w:val="C3"/>
          <w:rFonts w:ascii="仿宋" w:hAnsi="仿宋"/>
          <w:sz w:val="32"/>
        </w:rPr>
        <w:t xml:space="preserve">  从事与保护区相关活动的单位和个人，应当遵守本条例。</w:t>
        <w:br w:type="textWrapping"/>
      </w:r>
      <w:bookmarkStart w:id="3" w:name="4"/>
      <w:r>
        <w:rPr>
          <w:rStyle w:val="C3"/>
          <w:rFonts w:ascii="仿宋" w:hAnsi="仿宋"/>
          <w:sz w:val="32"/>
        </w:rPr>
        <w:t>　　</w:t>
      </w:r>
      <w:r>
        <w:rPr>
          <w:rStyle w:val="C3"/>
          <w:rFonts w:ascii="黑体" w:hAnsi="黑体"/>
          <w:sz w:val="32"/>
        </w:rPr>
        <w:t>第四条</w:t>
      </w:r>
      <w:bookmarkEnd w:id="3"/>
      <w:r>
        <w:rPr>
          <w:rStyle w:val="C3"/>
          <w:rFonts w:ascii="仿宋" w:hAnsi="仿宋"/>
          <w:sz w:val="32"/>
        </w:rPr>
        <w:t xml:space="preserve">  保护区的建设与管理应当坚持全面规划、严格保护、科学管理、永续利用的原则。</w:t>
        <w:br w:type="textWrapping"/>
      </w:r>
      <w:bookmarkStart w:id="4" w:name="5"/>
      <w:r>
        <w:rPr>
          <w:rStyle w:val="C3"/>
          <w:rFonts w:ascii="仿宋" w:hAnsi="仿宋"/>
          <w:sz w:val="32"/>
        </w:rPr>
        <w:t>　　</w:t>
      </w:r>
      <w:r>
        <w:rPr>
          <w:rStyle w:val="C3"/>
          <w:rFonts w:ascii="黑体" w:hAnsi="黑体"/>
          <w:sz w:val="32"/>
        </w:rPr>
        <w:t>第五条</w:t>
      </w:r>
      <w:bookmarkEnd w:id="4"/>
      <w:r>
        <w:rPr>
          <w:rStyle w:val="C3"/>
          <w:rFonts w:ascii="仿宋" w:hAnsi="仿宋"/>
          <w:sz w:val="32"/>
        </w:rPr>
        <w:t xml:space="preserve">  大兴安岭林业主管部门为保护区的行政主管部门。黑龙江南瓮河国家级自然保护区管理局（以下简称管理局）负责保护区管理工作。管理局为具有管理公共事务职能的事业单位，其主要职责是：</w:t>
        <w:br w:type="textWrapping"/>
        <w:t>　　（一）宣传、贯彻执行国家有关法律、法规和方针政策；</w:t>
        <w:br w:type="textWrapping"/>
        <w:t>　　（二）根据经批准的保护区总体规划，编制保护、建设发展规划，并组织实施；</w:t>
        <w:br w:type="textWrapping"/>
        <w:t>　　（三）保护辖区内自然资源和生态环境，组织保护区资源调查、环境监测，并建立档案，负责森林有害生物的防治工作；</w:t>
        <w:br w:type="textWrapping"/>
        <w:t>　　（四）在当地人民政府的领导下，开展森林防火工作；</w:t>
        <w:br w:type="textWrapping"/>
        <w:t>　　（五）开展生态环境和自然资源保护宣传教育活动，建立科学普及示范基地；</w:t>
        <w:br w:type="textWrapping"/>
        <w:t>　　（六）组织或者协调有关部门开展保护区的科学研究工作；</w:t>
        <w:br w:type="textWrapping"/>
        <w:t>　　（七）监督管理在保护区开展的参观、旅游等活动；</w:t>
        <w:br w:type="textWrapping"/>
        <w:t>　　（八）依法查处破坏保护区的各类违法案件。</w:t>
        <w:br w:type="textWrapping"/>
      </w:r>
      <w:bookmarkStart w:id="5" w:name="6"/>
      <w:r>
        <w:rPr>
          <w:rStyle w:val="C3"/>
          <w:rFonts w:ascii="仿宋" w:hAnsi="仿宋"/>
          <w:sz w:val="32"/>
        </w:rPr>
        <w:t>　　</w:t>
      </w:r>
      <w:r>
        <w:rPr>
          <w:rStyle w:val="C3"/>
          <w:rFonts w:ascii="黑体" w:hAnsi="黑体"/>
          <w:sz w:val="32"/>
        </w:rPr>
        <w:t>第六条</w:t>
      </w:r>
      <w:bookmarkEnd w:id="5"/>
      <w:r>
        <w:rPr>
          <w:rStyle w:val="C3"/>
          <w:rFonts w:ascii="仿宋" w:hAnsi="仿宋"/>
          <w:sz w:val="32"/>
        </w:rPr>
        <w:t xml:space="preserve">  保护区的建设与管理应当纳入大兴安岭地区国民经济和社会发展规划及年度计划，并安排专项资金用于保护区自然资源、生态环境保护和科学研究、防火等基础设施建设。</w:t>
        <w:br w:type="textWrapping"/>
        <w:t>　　有关部门在安排各项生态效益补偿资金时，应当划拨一部分用于保护区的保护和建设。</w:t>
        <w:br w:type="textWrapping"/>
      </w:r>
      <w:bookmarkStart w:id="6" w:name="7"/>
      <w:r>
        <w:rPr>
          <w:rStyle w:val="C3"/>
          <w:rFonts w:ascii="仿宋" w:hAnsi="仿宋"/>
          <w:sz w:val="32"/>
        </w:rPr>
        <w:t>　　</w:t>
      </w:r>
      <w:r>
        <w:rPr>
          <w:rStyle w:val="C3"/>
          <w:rFonts w:ascii="黑体" w:hAnsi="黑体"/>
          <w:sz w:val="32"/>
        </w:rPr>
        <w:t>第七条</w:t>
      </w:r>
      <w:bookmarkEnd w:id="6"/>
      <w:r>
        <w:rPr>
          <w:rStyle w:val="C3"/>
          <w:rFonts w:ascii="仿宋" w:hAnsi="仿宋"/>
          <w:sz w:val="32"/>
        </w:rPr>
        <w:t xml:space="preserve">  保护区所在地人民政府对保护区负有保护责任，对管理局履行职责和保护区保护建设应当给予支持。</w:t>
        <w:br w:type="textWrapping"/>
        <w:t>　　管理局应当妥善处理好保护区的保护管理与当地经济发展和居民生产生活的关系。</w:t>
        <w:br w:type="textWrapping"/>
      </w:r>
      <w:bookmarkStart w:id="7" w:name="8"/>
      <w:r>
        <w:rPr>
          <w:rStyle w:val="C3"/>
          <w:rFonts w:ascii="仿宋" w:hAnsi="仿宋"/>
          <w:sz w:val="32"/>
        </w:rPr>
        <w:t>　　</w:t>
      </w:r>
      <w:r>
        <w:rPr>
          <w:rStyle w:val="C3"/>
          <w:rFonts w:ascii="黑体" w:hAnsi="黑体"/>
          <w:sz w:val="32"/>
        </w:rPr>
        <w:t>第八条</w:t>
      </w:r>
      <w:bookmarkEnd w:id="7"/>
      <w:r>
        <w:rPr>
          <w:rStyle w:val="C3"/>
          <w:rFonts w:ascii="仿宋" w:hAnsi="仿宋"/>
          <w:sz w:val="32"/>
        </w:rPr>
        <w:t xml:space="preserve">  当地人民政府应当加强对保护区森林防火工作的领导，负责防火监测预报、林火扑救和区域防火指挥；管理局负责保护区的防火巡护检查、火险监控和日常预防管理工作。</w:t>
        <w:br w:type="textWrapping"/>
      </w:r>
      <w:bookmarkStart w:id="8" w:name="9"/>
      <w:r>
        <w:rPr>
          <w:rStyle w:val="C3"/>
          <w:rFonts w:ascii="仿宋" w:hAnsi="仿宋"/>
          <w:sz w:val="32"/>
        </w:rPr>
        <w:t>　　</w:t>
      </w:r>
      <w:r>
        <w:rPr>
          <w:rStyle w:val="C3"/>
          <w:rFonts w:ascii="黑体" w:hAnsi="黑体"/>
          <w:sz w:val="32"/>
        </w:rPr>
        <w:t>第九条</w:t>
      </w:r>
      <w:bookmarkEnd w:id="8"/>
      <w:r>
        <w:rPr>
          <w:rStyle w:val="C3"/>
          <w:rFonts w:ascii="仿宋" w:hAnsi="仿宋"/>
          <w:sz w:val="32"/>
        </w:rPr>
        <w:t xml:space="preserve">  管理局应当在总体规划确定的保护区界线和核心区、缓冲区、实验区的分界处设立界标。</w:t>
        <w:br w:type="textWrapping"/>
        <w:t>　　核心区禁止任何单位和个人进入。因科学研究需要，必须进入核心区从事科学观测、调查活动的，应当向管理局提出书面申请，由管理局按照国家有关规定办理审批手续。</w:t>
        <w:br w:type="textWrapping"/>
        <w:t>　　缓冲区禁止开展旅游活动和生产经营活动。因教学、科学研究等活动需要进入缓冲区的，应当事先向管理局提交申请和活动计划，经管理局批准后方可进行。</w:t>
        <w:br w:type="textWrapping"/>
        <w:t>　　在实验区开辟旅游景点、路线和修建旅游道路、设施的，应当符合总体规划，由管理局提出方案，依法报有关行政主管部门批准后实施。</w:t>
        <w:br w:type="textWrapping"/>
      </w:r>
      <w:bookmarkStart w:id="9" w:name="10"/>
      <w:r>
        <w:rPr>
          <w:rStyle w:val="C3"/>
          <w:rFonts w:ascii="仿宋" w:hAnsi="仿宋"/>
          <w:sz w:val="32"/>
        </w:rPr>
        <w:t>　　</w:t>
      </w:r>
      <w:r>
        <w:rPr>
          <w:rStyle w:val="C3"/>
          <w:rFonts w:ascii="黑体" w:hAnsi="黑体"/>
          <w:sz w:val="32"/>
        </w:rPr>
        <w:t>第十条</w:t>
      </w:r>
      <w:bookmarkEnd w:id="9"/>
      <w:r>
        <w:rPr>
          <w:rStyle w:val="C3"/>
          <w:rFonts w:ascii="仿宋" w:hAnsi="仿宋"/>
          <w:sz w:val="32"/>
        </w:rPr>
        <w:t xml:space="preserve">  核心区、缓冲区不得建设任何生产设施。实验区林地确需占用的，按有关法律、法规规定的条件和程序办理审批手续。</w:t>
        <w:br w:type="textWrapping"/>
        <w:t>　　保护区及依法划定的外围保护地带禁止发展可能危害生态环境的产业。</w:t>
        <w:br w:type="textWrapping"/>
      </w:r>
      <w:bookmarkStart w:id="10" w:name="11"/>
      <w:r>
        <w:rPr>
          <w:rStyle w:val="C3"/>
          <w:rFonts w:ascii="仿宋" w:hAnsi="仿宋"/>
          <w:sz w:val="32"/>
        </w:rPr>
        <w:t>　　</w:t>
      </w:r>
      <w:r>
        <w:rPr>
          <w:rStyle w:val="C3"/>
          <w:rFonts w:ascii="黑体" w:hAnsi="黑体"/>
          <w:sz w:val="32"/>
        </w:rPr>
        <w:t>第十一条</w:t>
      </w:r>
      <w:bookmarkEnd w:id="10"/>
      <w:r>
        <w:rPr>
          <w:rStyle w:val="C3"/>
          <w:rFonts w:ascii="仿宋" w:hAnsi="仿宋"/>
          <w:sz w:val="32"/>
        </w:rPr>
        <w:t xml:space="preserve">  经批准进入保护区的人员，应当遵守保护区有关规定，服从保护区管理人员的管理，不得超越规定的活动范围和活动方式，不得污染生态环境和破坏自然资源。</w:t>
        <w:br w:type="textWrapping"/>
      </w:r>
      <w:bookmarkStart w:id="11" w:name="12"/>
      <w:r>
        <w:rPr>
          <w:rStyle w:val="C3"/>
          <w:rFonts w:ascii="仿宋" w:hAnsi="仿宋"/>
          <w:sz w:val="32"/>
        </w:rPr>
        <w:t>　　</w:t>
      </w:r>
      <w:r>
        <w:rPr>
          <w:rStyle w:val="C3"/>
          <w:rFonts w:ascii="黑体" w:hAnsi="黑体"/>
          <w:sz w:val="32"/>
        </w:rPr>
        <w:t>第十二条</w:t>
      </w:r>
      <w:bookmarkEnd w:id="11"/>
      <w:r>
        <w:rPr>
          <w:rStyle w:val="C3"/>
          <w:rFonts w:ascii="仿宋" w:hAnsi="仿宋"/>
          <w:sz w:val="32"/>
        </w:rPr>
        <w:t xml:space="preserve">  保护区的林下资源和旅游资源依法实行有偿使用，所收费用用于保护区的资源恢复和管理。</w:t>
        <w:br w:type="textWrapping"/>
      </w:r>
      <w:bookmarkStart w:id="12" w:name="13"/>
      <w:r>
        <w:rPr>
          <w:rStyle w:val="C3"/>
          <w:rFonts w:ascii="仿宋" w:hAnsi="仿宋"/>
          <w:sz w:val="32"/>
        </w:rPr>
        <w:t>　　</w:t>
      </w:r>
      <w:r>
        <w:rPr>
          <w:rStyle w:val="C3"/>
          <w:rFonts w:ascii="黑体" w:hAnsi="黑体"/>
          <w:sz w:val="32"/>
        </w:rPr>
        <w:t>第十三条</w:t>
      </w:r>
      <w:bookmarkEnd w:id="12"/>
      <w:r>
        <w:rPr>
          <w:rStyle w:val="C3"/>
          <w:rFonts w:ascii="仿宋" w:hAnsi="仿宋"/>
          <w:sz w:val="32"/>
        </w:rPr>
        <w:t xml:space="preserve">  在保护区从事科学研究、教学实习等活动的单位和个人，应当将活动成果的副本提交管理局。确因科学研究、教学需要采集标本的，经管理局批准在指定区域内限量采集。</w:t>
        <w:br w:type="textWrapping"/>
      </w:r>
      <w:bookmarkStart w:id="13" w:name="14"/>
      <w:r>
        <w:rPr>
          <w:rStyle w:val="C3"/>
          <w:rFonts w:ascii="仿宋" w:hAnsi="仿宋"/>
          <w:sz w:val="32"/>
        </w:rPr>
        <w:t>　　</w:t>
      </w:r>
      <w:r>
        <w:rPr>
          <w:rStyle w:val="C3"/>
          <w:rFonts w:ascii="黑体" w:hAnsi="黑体"/>
          <w:sz w:val="32"/>
        </w:rPr>
        <w:t>第十四条</w:t>
      </w:r>
      <w:bookmarkEnd w:id="13"/>
      <w:r>
        <w:rPr>
          <w:rStyle w:val="C3"/>
          <w:rFonts w:ascii="仿宋" w:hAnsi="仿宋"/>
          <w:sz w:val="32"/>
        </w:rPr>
        <w:t xml:space="preserve">  出版发行宣传保护区的有关材料、影视、图片、画册等，应当向保护区管理局提供存档所需的书刊和拷贝等材料。</w:t>
        <w:br w:type="textWrapping"/>
      </w:r>
      <w:bookmarkStart w:id="14" w:name="15"/>
      <w:r>
        <w:rPr>
          <w:rStyle w:val="C3"/>
          <w:rFonts w:ascii="仿宋" w:hAnsi="仿宋"/>
          <w:sz w:val="32"/>
        </w:rPr>
        <w:t>　　</w:t>
      </w:r>
      <w:r>
        <w:rPr>
          <w:rStyle w:val="C3"/>
          <w:rFonts w:ascii="黑体" w:hAnsi="黑体"/>
          <w:sz w:val="32"/>
        </w:rPr>
        <w:t>第十五条</w:t>
      </w:r>
      <w:bookmarkEnd w:id="14"/>
      <w:r>
        <w:rPr>
          <w:rStyle w:val="C3"/>
          <w:rFonts w:ascii="仿宋" w:hAnsi="仿宋"/>
          <w:sz w:val="32"/>
        </w:rPr>
        <w:t xml:space="preserve">  经批准在实验区从事旅游、住宿、餐饮、娱乐等经营活动的单位和个人，应当服从管理局的管理和监督。</w:t>
        <w:br w:type="textWrapping"/>
      </w:r>
      <w:bookmarkStart w:id="15" w:name="16"/>
      <w:r>
        <w:rPr>
          <w:rStyle w:val="C3"/>
          <w:rFonts w:ascii="仿宋" w:hAnsi="仿宋"/>
          <w:sz w:val="32"/>
        </w:rPr>
        <w:t>　　</w:t>
      </w:r>
      <w:r>
        <w:rPr>
          <w:rStyle w:val="C3"/>
          <w:rFonts w:ascii="黑体" w:hAnsi="黑体"/>
          <w:sz w:val="32"/>
        </w:rPr>
        <w:t>第十六条</w:t>
      </w:r>
      <w:bookmarkEnd w:id="15"/>
      <w:r>
        <w:rPr>
          <w:rStyle w:val="C3"/>
          <w:rFonts w:ascii="仿宋" w:hAnsi="仿宋"/>
          <w:sz w:val="32"/>
        </w:rPr>
        <w:t xml:space="preserve">  保护区禁止从事下列活动：</w:t>
        <w:br w:type="textWrapping"/>
        <w:t>　　（一）砍伐林木；</w:t>
        <w:br w:type="textWrapping"/>
        <w:t>　　（二）狩猎、捕捞野生动物和水生生物；</w:t>
        <w:br w:type="textWrapping"/>
        <w:t>　　（三）放牧、采药、烧荒、开矿、开垦、采石、挖沙、取土；</w:t>
        <w:br w:type="textWrapping"/>
        <w:t>　　（四）擅自采集野生植物、菌类等；</w:t>
        <w:br w:type="textWrapping"/>
        <w:t>　　（五）擅自移动或者破坏界碑、标牌和各种设施；</w:t>
        <w:br w:type="textWrapping"/>
        <w:t>　　（六）法律、法规禁止的其他行为。</w:t>
        <w:br w:type="textWrapping"/>
      </w:r>
      <w:bookmarkStart w:id="16" w:name="17"/>
      <w:r>
        <w:rPr>
          <w:rStyle w:val="C3"/>
          <w:rFonts w:ascii="仿宋" w:hAnsi="仿宋"/>
          <w:sz w:val="32"/>
        </w:rPr>
        <w:t>　　</w:t>
      </w:r>
      <w:r>
        <w:rPr>
          <w:rStyle w:val="C3"/>
          <w:rFonts w:ascii="黑体" w:hAnsi="黑体"/>
          <w:sz w:val="32"/>
        </w:rPr>
        <w:t>第十七条</w:t>
      </w:r>
      <w:bookmarkEnd w:id="16"/>
      <w:r>
        <w:rPr>
          <w:rStyle w:val="C3"/>
          <w:rFonts w:ascii="仿宋" w:hAnsi="仿宋"/>
          <w:sz w:val="32"/>
        </w:rPr>
        <w:t xml:space="preserve">  保护区应当加强森林有害生物的监测、预防和森林植物检疫工作。</w:t>
        <w:br w:type="textWrapping"/>
        <w:t>　　发生森林病虫鼠害时，应当采取综合治理措施，及时除治，防止蔓延；发生严重森林病虫鼠害时，按有关规定及时上报。</w:t>
        <w:br w:type="textWrapping"/>
      </w:r>
      <w:bookmarkStart w:id="17" w:name="18"/>
      <w:r>
        <w:rPr>
          <w:rStyle w:val="C3"/>
          <w:rFonts w:ascii="仿宋" w:hAnsi="仿宋"/>
          <w:sz w:val="32"/>
        </w:rPr>
        <w:t>　　</w:t>
      </w:r>
      <w:r>
        <w:rPr>
          <w:rStyle w:val="C3"/>
          <w:rFonts w:ascii="黑体" w:hAnsi="黑体"/>
          <w:sz w:val="32"/>
        </w:rPr>
        <w:t>第十八条</w:t>
      </w:r>
      <w:bookmarkEnd w:id="17"/>
      <w:r>
        <w:rPr>
          <w:rStyle w:val="C3"/>
          <w:rFonts w:ascii="仿宋" w:hAnsi="仿宋"/>
          <w:sz w:val="32"/>
        </w:rPr>
        <w:t xml:space="preserve">  保护区设立公安机关，行政上接受管理局领导，业务上接受上级公安机关领导和指挥，负责保护区自然资源和财产安全，维护保护区内治安，依法查处破坏保护区的违法犯罪案件。</w:t>
        <w:br w:type="textWrapping"/>
      </w:r>
      <w:bookmarkStart w:id="18" w:name="19"/>
      <w:r>
        <w:rPr>
          <w:rStyle w:val="C3"/>
          <w:rFonts w:ascii="仿宋" w:hAnsi="仿宋"/>
          <w:sz w:val="32"/>
        </w:rPr>
        <w:t>　　</w:t>
      </w:r>
      <w:r>
        <w:rPr>
          <w:rStyle w:val="C3"/>
          <w:rFonts w:ascii="黑体" w:hAnsi="黑体"/>
          <w:sz w:val="32"/>
        </w:rPr>
        <w:t>第十九条</w:t>
      </w:r>
      <w:bookmarkEnd w:id="18"/>
      <w:r>
        <w:rPr>
          <w:rStyle w:val="C3"/>
          <w:rFonts w:ascii="仿宋" w:hAnsi="仿宋"/>
          <w:sz w:val="32"/>
        </w:rPr>
        <w:t xml:space="preserve">  对保护区保护、建设、管理和科学研究工作作出显著成绩的单位和个人，由管理局或者其行政主管部门给予表彰和奖励。</w:t>
        <w:br w:type="textWrapping"/>
      </w:r>
      <w:bookmarkStart w:id="19" w:name="20"/>
      <w:r>
        <w:rPr>
          <w:rStyle w:val="C3"/>
          <w:rFonts w:ascii="仿宋" w:hAnsi="仿宋"/>
          <w:sz w:val="32"/>
        </w:rPr>
        <w:t>　　</w:t>
      </w:r>
      <w:r>
        <w:rPr>
          <w:rStyle w:val="C3"/>
          <w:rFonts w:ascii="黑体" w:hAnsi="黑体"/>
          <w:sz w:val="32"/>
        </w:rPr>
        <w:t>第二十条</w:t>
      </w:r>
      <w:bookmarkEnd w:id="19"/>
      <w:r>
        <w:rPr>
          <w:rStyle w:val="C3"/>
          <w:rFonts w:ascii="仿宋" w:hAnsi="仿宋"/>
          <w:sz w:val="32"/>
        </w:rPr>
        <w:t xml:space="preserve">  对破坏保护区的行为，法律、法规有规定的，由管理局按照有关法律、法规规定给予处罚；构成犯罪的，由司法机关依法追究刑事责任。</w:t>
        <w:br w:type="textWrapping"/>
      </w:r>
      <w:bookmarkStart w:id="20" w:name="21"/>
      <w:r>
        <w:rPr>
          <w:rStyle w:val="C3"/>
          <w:rFonts w:ascii="仿宋" w:hAnsi="仿宋"/>
          <w:sz w:val="32"/>
        </w:rPr>
        <w:t>　　</w:t>
      </w:r>
      <w:r>
        <w:rPr>
          <w:rStyle w:val="C3"/>
          <w:rFonts w:ascii="黑体" w:hAnsi="黑体"/>
          <w:sz w:val="32"/>
        </w:rPr>
        <w:t>第二十一条</w:t>
      </w:r>
      <w:bookmarkEnd w:id="20"/>
      <w:r>
        <w:rPr>
          <w:rStyle w:val="C3"/>
          <w:rFonts w:ascii="仿宋" w:hAnsi="仿宋"/>
          <w:sz w:val="32"/>
        </w:rPr>
        <w:t xml:space="preserve">  违反本条例规定，有下列行为之一的，由管理局责令停止违法行为，造成损失的应当赔偿，并给予处罚：</w:t>
        <w:br w:type="textWrapping"/>
        <w:t>　　（一）未经批准进入保护区或者在保护区内不服从管理局管理的，给予警告，并可处以每人一百元以上五百元以下罚款；</w:t>
        <w:br w:type="textWrapping"/>
        <w:t>　　（二）从事科学研究、标本采集和出版发行有关材料、影视、图片、画册等活动不按规定提交成果副本的，处以一千元以上五千元以下罚款；</w:t>
        <w:br w:type="textWrapping"/>
        <w:t>　　（三）未经批准在保护区内建设工程设施的，限期恢复原状，并处以被破坏面积每平方米三十元罚款；</w:t>
        <w:br w:type="textWrapping"/>
        <w:t>　　（四）擅自移动或者破坏保护区界碑、标牌和各种设施的，限期恢复原状，并处以恢复所需实际费用二倍至五倍的罚款。</w:t>
        <w:br w:type="textWrapping"/>
      </w:r>
      <w:bookmarkStart w:id="21" w:name="22"/>
      <w:r>
        <w:rPr>
          <w:rStyle w:val="C3"/>
          <w:rFonts w:ascii="仿宋" w:hAnsi="仿宋"/>
          <w:sz w:val="32"/>
        </w:rPr>
        <w:t>　　</w:t>
      </w:r>
      <w:r>
        <w:rPr>
          <w:rStyle w:val="C3"/>
          <w:rFonts w:ascii="黑体" w:hAnsi="黑体"/>
          <w:sz w:val="32"/>
        </w:rPr>
        <w:t>第二十二条</w:t>
      </w:r>
      <w:bookmarkEnd w:id="21"/>
      <w:r>
        <w:rPr>
          <w:rStyle w:val="C3"/>
          <w:rFonts w:ascii="仿宋" w:hAnsi="仿宋"/>
          <w:sz w:val="32"/>
        </w:rPr>
        <w:t xml:space="preserve">  管理局及其工作人员有下列行为之一的，由有关部门对其主管人员和直接责任人员依法给予行政处分：</w:t>
        <w:br w:type="textWrapping"/>
        <w:t>　　（一）未严格执行保护区规划的；</w:t>
        <w:br w:type="textWrapping"/>
        <w:t>　　（二）未履行保护区管理职责的；</w:t>
        <w:br w:type="textWrapping"/>
        <w:t>　　（三）发现破坏保护区违法行为未及时依法查处的；</w:t>
        <w:br w:type="textWrapping"/>
        <w:t>　　（四）违反本条例的其他行为。</w:t>
        <w:br w:type="textWrapping"/>
      </w:r>
      <w:bookmarkStart w:id="22" w:name="23"/>
      <w:r>
        <w:rPr>
          <w:rStyle w:val="C3"/>
          <w:rFonts w:ascii="仿宋" w:hAnsi="仿宋"/>
          <w:sz w:val="32"/>
        </w:rPr>
        <w:t>　　</w:t>
      </w:r>
      <w:r>
        <w:rPr>
          <w:rStyle w:val="C3"/>
          <w:rFonts w:ascii="黑体" w:hAnsi="黑体"/>
          <w:sz w:val="32"/>
        </w:rPr>
        <w:t>第二十三条</w:t>
      </w:r>
      <w:bookmarkEnd w:id="22"/>
      <w:r>
        <w:rPr>
          <w:rStyle w:val="C3"/>
          <w:rFonts w:ascii="仿宋" w:hAnsi="仿宋"/>
          <w:sz w:val="32"/>
        </w:rPr>
        <w:t xml:space="preserve">  本条例自2009年6月1日起施行。</w:t>
      </w:r>
    </w:p>
    <w:p>
      <w:pPr>
        <w:pStyle w:val="P1"/>
        <w:keepNext w:val="0"/>
        <w:keepLines w:val="0"/>
        <w:spacing w:lineRule="exact" w:line="600"/>
        <w:ind w:firstLine="0" w:left="0" w:right="0"/>
        <w:jc w:val="both"/>
        <w:rPr>
          <w:rStyle w:val="C3"/>
          <w:rFonts w:ascii="仿宋" w:hAnsi="仿宋"/>
          <w:sz w:val="32"/>
        </w:rPr>
      </w:pPr>
    </w:p>
    <w:sectPr>
      <w:footerReference xmlns:r="http://schemas.openxmlformats.org/officeDocument/2006/relationships" w:type="default" r:id="RelFtr1"/>
      <w:type w:val="nextPage"/>
      <w:pgSz w:w="11906" w:h="16838" w:code="0"/>
      <w:pgMar w:left="1474" w:right="1361" w:top="1701" w:bottom="1587"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2014-10-29T12:08:00Z</dcterms:created>
  <cp:lastModifiedBy>f1TZOF\f1TZOF-</cp:lastModifiedBy>
  <cp:lastPrinted>2018-04-23T05:49:00Z</cp:lastPrinted>
  <dcterms:modified xsi:type="dcterms:W3CDTF">2024-08-28T01:37:26Z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2052-10.1.0.7224</vt:lpwstr>
  </property>
</Properties>
</file>