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83B951" Type="http://schemas.openxmlformats.org/officeDocument/2006/relationships/officeDocument" Target="/word/document.xml" /><Relationship Id="coreR6C83B951" Type="http://schemas.openxmlformats.org/package/2006/relationships/metadata/core-properties" Target="/docProps/core.xml" /><Relationship Id="customR6C83B9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ind w:right="-91"/>
        <w:rPr>
          <w:rStyle w:val="C3"/>
          <w:sz w:val="32"/>
        </w:rPr>
      </w:pPr>
    </w:p>
    <w:p>
      <w:pPr>
        <w:pStyle w:val="P1"/>
        <w:tabs>
          <w:tab w:val="left" w:pos="8505" w:leader="none"/>
        </w:tabs>
        <w:spacing w:lineRule="exact" w:line="600"/>
        <w:ind w:right="-91"/>
        <w:jc w:val="center"/>
        <w:rPr>
          <w:rStyle w:val="C3"/>
          <w:rFonts w:ascii="宋体" w:hAnsi="宋体"/>
          <w:sz w:val="44"/>
        </w:rPr>
      </w:pPr>
      <w:r>
        <w:rPr>
          <w:rStyle w:val="C3"/>
          <w:rFonts w:ascii="宋体" w:hAnsi="宋体"/>
          <w:sz w:val="44"/>
        </w:rPr>
        <w:t>广西壮族自治区人民代表大会常务委员会</w:t>
      </w:r>
    </w:p>
    <w:p>
      <w:pPr>
        <w:pStyle w:val="P1"/>
        <w:tabs>
          <w:tab w:val="left" w:pos="8505" w:leader="none"/>
        </w:tabs>
        <w:spacing w:lineRule="exact" w:line="600"/>
        <w:ind w:right="-91"/>
        <w:jc w:val="center"/>
        <w:rPr>
          <w:rStyle w:val="C3"/>
          <w:rFonts w:ascii="宋体" w:hAnsi="宋体"/>
          <w:sz w:val="44"/>
        </w:rPr>
      </w:pPr>
      <w:r>
        <w:rPr>
          <w:rStyle w:val="C3"/>
          <w:rFonts w:ascii="宋体" w:hAnsi="宋体"/>
          <w:sz w:val="44"/>
        </w:rPr>
        <w:t>关于修改《广西壮族自治区实施〈中华人民</w:t>
      </w:r>
    </w:p>
    <w:p>
      <w:pPr>
        <w:pStyle w:val="P1"/>
        <w:tabs>
          <w:tab w:val="left" w:pos="8505" w:leader="none"/>
        </w:tabs>
        <w:spacing w:lineRule="exact" w:line="600"/>
        <w:ind w:right="-91"/>
        <w:jc w:val="center"/>
        <w:rPr>
          <w:rStyle w:val="C3"/>
          <w:rFonts w:ascii="宋体" w:hAnsi="宋体"/>
          <w:sz w:val="44"/>
        </w:rPr>
      </w:pPr>
      <w:r>
        <w:rPr>
          <w:rStyle w:val="C3"/>
          <w:rFonts w:ascii="宋体" w:hAnsi="宋体"/>
          <w:sz w:val="44"/>
        </w:rPr>
        <w:t>共和国水法〉办法》等四件地方性法规</w:t>
      </w:r>
    </w:p>
    <w:p>
      <w:pPr>
        <w:pStyle w:val="P1"/>
        <w:tabs>
          <w:tab w:val="left" w:pos="8505" w:leader="none"/>
        </w:tabs>
        <w:spacing w:lineRule="exact" w:line="600"/>
        <w:ind w:right="-91"/>
        <w:jc w:val="center"/>
        <w:rPr>
          <w:rStyle w:val="C3"/>
          <w:rFonts w:ascii="宋体" w:hAnsi="宋体"/>
          <w:sz w:val="44"/>
        </w:rPr>
      </w:pPr>
      <w:r>
        <w:rPr>
          <w:rStyle w:val="C3"/>
          <w:rFonts w:ascii="宋体" w:hAnsi="宋体"/>
          <w:sz w:val="44"/>
        </w:rPr>
        <w:t>和废止《广西壮族自治区木材运输</w:t>
      </w:r>
    </w:p>
    <w:p>
      <w:pPr>
        <w:pStyle w:val="P1"/>
        <w:tabs>
          <w:tab w:val="left" w:pos="8505" w:leader="none"/>
        </w:tabs>
        <w:spacing w:lineRule="exact" w:line="600"/>
        <w:ind w:right="-91"/>
        <w:jc w:val="center"/>
        <w:rPr>
          <w:rStyle w:val="C3"/>
          <w:rFonts w:ascii="宋体" w:hAnsi="宋体"/>
          <w:sz w:val="44"/>
        </w:rPr>
      </w:pPr>
      <w:r>
        <w:rPr>
          <w:rStyle w:val="C3"/>
          <w:rFonts w:ascii="宋体" w:hAnsi="宋体"/>
          <w:sz w:val="44"/>
        </w:rPr>
        <w:t>管理条例》的决定</w:t>
      </w:r>
    </w:p>
    <w:p>
      <w:pPr>
        <w:pStyle w:val="P1"/>
        <w:tabs>
          <w:tab w:val="left" w:pos="8505" w:leader="none"/>
        </w:tabs>
        <w:spacing w:lineRule="exact" w:line="600"/>
        <w:ind w:right="-91"/>
        <w:jc w:val="center"/>
        <w:rPr>
          <w:rStyle w:val="C3"/>
          <w:sz w:val="32"/>
        </w:rPr>
      </w:pPr>
    </w:p>
    <w:p>
      <w:pPr>
        <w:pStyle w:val="P1"/>
        <w:tabs>
          <w:tab w:val="left" w:pos="8505" w:leader="none"/>
        </w:tabs>
        <w:spacing w:lineRule="exact" w:line="600"/>
        <w:ind w:right="-91"/>
        <w:jc w:val="center"/>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日广西壮族自治区第十三届</w:t>
      </w:r>
    </w:p>
    <w:p>
      <w:pPr>
        <w:pStyle w:val="P1"/>
        <w:tabs>
          <w:tab w:val="left" w:pos="8505" w:leader="none"/>
        </w:tabs>
        <w:spacing w:lineRule="exact" w:line="600"/>
        <w:ind w:right="-91"/>
        <w:jc w:val="center"/>
        <w:rPr>
          <w:rStyle w:val="C3"/>
          <w:sz w:val="32"/>
        </w:rPr>
      </w:pPr>
      <w:r>
        <w:rPr>
          <w:rStyle w:val="C3"/>
          <w:rFonts w:ascii="方正姚体" w:hAnsi="方正姚体"/>
          <w:sz w:val="32"/>
        </w:rPr>
        <w:t>人民代表大会常务委员会第二十三次会议通过）</w:t>
      </w:r>
    </w:p>
    <w:p>
      <w:pPr>
        <w:pStyle w:val="P1"/>
        <w:tabs>
          <w:tab w:val="left" w:pos="8505" w:leader="none"/>
        </w:tabs>
        <w:spacing w:lineRule="exact" w:line="600"/>
        <w:ind w:right="-91"/>
        <w:rPr>
          <w:rStyle w:val="C3"/>
          <w:sz w:val="32"/>
        </w:rPr>
      </w:pPr>
    </w:p>
    <w:p>
      <w:pPr>
        <w:pStyle w:val="P1"/>
        <w:tabs>
          <w:tab w:val="left" w:pos="8505" w:leader="none"/>
        </w:tabs>
        <w:spacing w:lineRule="exact" w:line="600"/>
        <w:ind w:right="-91"/>
        <w:rPr>
          <w:rStyle w:val="C3"/>
          <w:sz w:val="32"/>
        </w:rPr>
      </w:pPr>
      <w:r>
        <w:rPr>
          <w:rStyle w:val="C3"/>
          <w:rFonts w:ascii="方正姚体" w:hAnsi="方正姚体"/>
          <w:sz w:val="32"/>
        </w:rPr>
        <w:t>　　广西壮族自治区第十三届人民代表大会常务委员会第二十三次会议决定：</w:t>
      </w:r>
    </w:p>
    <w:p>
      <w:pPr>
        <w:pStyle w:val="P1"/>
        <w:tabs>
          <w:tab w:val="left" w:pos="8505" w:leader="none"/>
        </w:tabs>
        <w:spacing w:lineRule="exact" w:line="600"/>
        <w:ind w:right="-91"/>
        <w:rPr>
          <w:rStyle w:val="C3"/>
          <w:rFonts w:ascii="黑体" w:hAnsi="黑体"/>
          <w:sz w:val="32"/>
        </w:rPr>
      </w:pPr>
      <w:r>
        <w:rPr>
          <w:rStyle w:val="C3"/>
          <w:rFonts w:ascii="方正姚体" w:hAnsi="方正姚体"/>
          <w:sz w:val="32"/>
        </w:rPr>
        <w:t>　</w:t>
      </w:r>
      <w:r>
        <w:rPr>
          <w:rStyle w:val="C3"/>
          <w:rFonts w:ascii="黑体" w:hAnsi="黑体"/>
          <w:sz w:val="32"/>
        </w:rPr>
        <w:t>　一、对《广西壮族自治区实施〈中华人民共和国水法〉办法》作出修改</w:t>
      </w:r>
    </w:p>
    <w:p>
      <w:pPr>
        <w:pStyle w:val="P1"/>
        <w:tabs>
          <w:tab w:val="left" w:pos="8505" w:leader="none"/>
        </w:tabs>
        <w:spacing w:lineRule="exact" w:line="600"/>
        <w:ind w:right="-91"/>
        <w:rPr>
          <w:rStyle w:val="C3"/>
          <w:sz w:val="32"/>
        </w:rPr>
      </w:pPr>
      <w:r>
        <w:rPr>
          <w:rStyle w:val="C3"/>
          <w:rFonts w:ascii="方正姚体" w:hAnsi="方正姚体"/>
          <w:sz w:val="32"/>
        </w:rPr>
        <w:t>　　（一）将第六条中的</w:t>
      </w:r>
      <w:r>
        <w:rPr>
          <w:rStyle w:val="C3"/>
          <w:sz w:val="32"/>
        </w:rPr>
        <w:t>“</w:t>
      </w:r>
      <w:r>
        <w:rPr>
          <w:rStyle w:val="C3"/>
          <w:rFonts w:ascii="方正姚体" w:hAnsi="方正姚体"/>
          <w:sz w:val="32"/>
        </w:rPr>
        <w:t>桂江、贺江、左江、右江、郁江、红水河、柳江、黔江、浔江、南流江及其他跨设区的市的江河的流域综合规划和区域综合规划</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跨设区的市的江河的流域综合规划和区域综合规划</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（二）将第六条、第七条、第二十三条中的</w:t>
      </w:r>
      <w:r>
        <w:rPr>
          <w:rStyle w:val="C3"/>
          <w:sz w:val="32"/>
        </w:rPr>
        <w:t>“</w:t>
      </w:r>
      <w:r>
        <w:rPr>
          <w:rStyle w:val="C3"/>
          <w:rFonts w:ascii="方正姚体" w:hAnsi="方正姚体"/>
          <w:sz w:val="32"/>
        </w:rPr>
        <w:t>发展和改革行政主管部门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发展改革部门</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（三）将第八条第二款中的</w:t>
      </w:r>
      <w:r>
        <w:rPr>
          <w:rStyle w:val="C3"/>
          <w:sz w:val="32"/>
        </w:rPr>
        <w:t>“</w:t>
      </w:r>
      <w:r>
        <w:rPr>
          <w:rStyle w:val="C3"/>
          <w:rFonts w:ascii="方正姚体" w:hAnsi="方正姚体"/>
          <w:sz w:val="32"/>
        </w:rPr>
        <w:t>水利、环境保护、国土资源</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水行政、生态环境、自然资源</w:t>
      </w:r>
      <w:r>
        <w:rPr>
          <w:rStyle w:val="C3"/>
          <w:sz w:val="32"/>
        </w:rPr>
        <w:t>”</w:t>
      </w:r>
      <w:r>
        <w:rPr>
          <w:rStyle w:val="C3"/>
          <w:rFonts w:ascii="方正姚体" w:hAnsi="方正姚体"/>
          <w:sz w:val="32"/>
        </w:rPr>
        <w:t>；</w:t>
      </w:r>
      <w:r>
        <w:rPr>
          <w:rStyle w:val="C3"/>
          <w:sz w:val="32"/>
        </w:rPr>
        <w:t>“</w:t>
      </w:r>
      <w:r>
        <w:rPr>
          <w:rStyle w:val="C3"/>
          <w:rFonts w:ascii="方正姚体" w:hAnsi="方正姚体"/>
          <w:sz w:val="32"/>
        </w:rPr>
        <w:t>各监测站网应当按规定及时向自治区水文、水资源信息管理系统数据库提供监测数据，实行资料共享</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各监测站网的监测数据应当按照规定实行资料共享</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（四）将第九条中的</w:t>
      </w:r>
      <w:r>
        <w:rPr>
          <w:rStyle w:val="C3"/>
          <w:sz w:val="32"/>
        </w:rPr>
        <w:t>“</w:t>
      </w:r>
      <w:r>
        <w:rPr>
          <w:rStyle w:val="C3"/>
          <w:rFonts w:ascii="方正姚体" w:hAnsi="方正姚体"/>
          <w:sz w:val="32"/>
        </w:rPr>
        <w:t>水利、建设、国土资源等主管部门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水行政、住房城乡建设、自然资源等主管部门</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（五）删去第十三条。</w:t>
      </w:r>
    </w:p>
    <w:p>
      <w:pPr>
        <w:pStyle w:val="P1"/>
        <w:tabs>
          <w:tab w:val="left" w:pos="8505" w:leader="none"/>
        </w:tabs>
        <w:spacing w:lineRule="exact" w:line="600"/>
        <w:ind w:right="-91"/>
        <w:rPr>
          <w:rStyle w:val="C3"/>
          <w:sz w:val="32"/>
        </w:rPr>
      </w:pPr>
      <w:r>
        <w:rPr>
          <w:rStyle w:val="C3"/>
          <w:rFonts w:ascii="方正姚体" w:hAnsi="方正姚体"/>
          <w:sz w:val="32"/>
        </w:rPr>
        <w:t>　　（六）将第十五条改为第十四条，修改为：</w:t>
      </w:r>
      <w:r>
        <w:rPr>
          <w:rStyle w:val="C3"/>
          <w:sz w:val="32"/>
        </w:rPr>
        <w:t>“</w:t>
      </w:r>
      <w:r>
        <w:rPr>
          <w:rStyle w:val="C3"/>
          <w:rFonts w:ascii="方正姚体" w:hAnsi="方正姚体"/>
          <w:sz w:val="32"/>
        </w:rPr>
        <w:t>在江河、湖泊、水库、渠道、运河上新建、改建或者扩大排污口的建设单位或者个人应当编制排污口的设置方案、该项目的环境影响报告书（表），报有审批权的生态环境主管部门审批。</w:t>
      </w:r>
      <w:r>
        <w:rPr>
          <w:rStyle w:val="C3"/>
          <w:sz w:val="32"/>
        </w:rPr>
        <w:t>”</w:t>
      </w:r>
    </w:p>
    <w:p>
      <w:pPr>
        <w:pStyle w:val="P1"/>
        <w:tabs>
          <w:tab w:val="left" w:pos="8505" w:leader="none"/>
        </w:tabs>
        <w:spacing w:lineRule="exact" w:line="600"/>
        <w:ind w:right="-91"/>
        <w:rPr>
          <w:rStyle w:val="C3"/>
          <w:sz w:val="32"/>
        </w:rPr>
      </w:pPr>
      <w:r>
        <w:rPr>
          <w:rStyle w:val="C3"/>
          <w:rFonts w:ascii="方正姚体" w:hAnsi="方正姚体"/>
          <w:sz w:val="32"/>
        </w:rPr>
        <w:t>　　（七）将第十八条改为第十七条，将第一款中的</w:t>
      </w:r>
      <w:r>
        <w:rPr>
          <w:rStyle w:val="C3"/>
          <w:sz w:val="32"/>
        </w:rPr>
        <w:t>“</w:t>
      </w:r>
      <w:r>
        <w:rPr>
          <w:rStyle w:val="C3"/>
          <w:rFonts w:ascii="方正姚体" w:hAnsi="方正姚体"/>
          <w:sz w:val="32"/>
        </w:rPr>
        <w:t>国土资源行政主管部门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自然资源主管部门</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（八）将第二十二条改为第二十一条，将第二款中的</w:t>
      </w:r>
      <w:r>
        <w:rPr>
          <w:rStyle w:val="C3"/>
          <w:sz w:val="32"/>
        </w:rPr>
        <w:t>“</w:t>
      </w:r>
      <w:r>
        <w:rPr>
          <w:rStyle w:val="C3"/>
          <w:rFonts w:ascii="方正姚体" w:hAnsi="方正姚体"/>
          <w:sz w:val="32"/>
        </w:rPr>
        <w:t>水行政主管部门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生态环境和水行政等有关主管部门</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（九）将第三十一条改为第三十条，将第四款修改为：</w:t>
      </w:r>
      <w:r>
        <w:rPr>
          <w:rStyle w:val="C3"/>
          <w:sz w:val="32"/>
        </w:rPr>
        <w:t>“</w:t>
      </w:r>
      <w:r>
        <w:rPr>
          <w:rStyle w:val="C3"/>
          <w:rFonts w:ascii="方正姚体" w:hAnsi="方正姚体"/>
          <w:sz w:val="32"/>
        </w:rPr>
        <w:t>无取水计量设施、取水计量设施不合格或者运行不正常未按照规定期限更换或者修复的，取水量按照取水设施最大取水能力计算。</w:t>
      </w:r>
      <w:r>
        <w:rPr>
          <w:rStyle w:val="C3"/>
          <w:sz w:val="32"/>
        </w:rPr>
        <w:t>”</w:t>
      </w:r>
    </w:p>
    <w:p>
      <w:pPr>
        <w:pStyle w:val="P1"/>
        <w:tabs>
          <w:tab w:val="left" w:pos="8505" w:leader="none"/>
        </w:tabs>
        <w:spacing w:lineRule="exact" w:line="600"/>
        <w:ind w:right="-91"/>
        <w:rPr>
          <w:rStyle w:val="C3"/>
          <w:sz w:val="32"/>
        </w:rPr>
      </w:pPr>
      <w:r>
        <w:rPr>
          <w:rStyle w:val="C3"/>
          <w:rFonts w:ascii="方正姚体" w:hAnsi="方正姚体"/>
          <w:sz w:val="32"/>
        </w:rPr>
        <w:t>　　（十）第三十三条改为第三十二条，将该条中的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firstLine="648" w:right="-91"/>
        <w:rPr>
          <w:rStyle w:val="C3"/>
          <w:sz w:val="32"/>
        </w:rPr>
      </w:pPr>
      <w:r>
        <w:rPr>
          <w:rStyle w:val="C3"/>
          <w:rFonts w:ascii="方正姚体" w:hAnsi="方正姚体"/>
          <w:sz w:val="32"/>
        </w:rPr>
        <w:t>（十一）删去第三十五条。</w:t>
      </w:r>
    </w:p>
    <w:p>
      <w:pPr>
        <w:pStyle w:val="P1"/>
        <w:tabs>
          <w:tab w:val="left" w:pos="8505" w:leader="none"/>
        </w:tabs>
        <w:spacing w:lineRule="exact" w:line="600"/>
        <w:ind w:firstLine="648" w:right="-91"/>
        <w:rPr>
          <w:rStyle w:val="C3"/>
          <w:sz w:val="32"/>
        </w:rPr>
      </w:pPr>
    </w:p>
    <w:p>
      <w:pPr>
        <w:pStyle w:val="P1"/>
        <w:tabs>
          <w:tab w:val="left" w:pos="8505" w:leader="none"/>
        </w:tabs>
        <w:spacing w:lineRule="exact" w:line="600"/>
        <w:ind w:right="-91"/>
        <w:rPr>
          <w:rStyle w:val="C3"/>
          <w:rFonts w:ascii="黑体" w:hAnsi="黑体"/>
          <w:sz w:val="32"/>
        </w:rPr>
      </w:pPr>
      <w:r>
        <w:rPr>
          <w:rStyle w:val="C3"/>
          <w:rFonts w:ascii="方正姚体" w:hAnsi="方正姚体"/>
          <w:sz w:val="32"/>
        </w:rPr>
        <w:t>　</w:t>
      </w:r>
      <w:r>
        <w:rPr>
          <w:rStyle w:val="C3"/>
          <w:rFonts w:ascii="黑体" w:hAnsi="黑体"/>
          <w:sz w:val="32"/>
        </w:rPr>
        <w:t>　二、对《广西壮族自治区殡葬管理条例》作出修改</w:t>
      </w:r>
    </w:p>
    <w:p>
      <w:pPr>
        <w:pStyle w:val="P1"/>
        <w:tabs>
          <w:tab w:val="left" w:pos="8505" w:leader="none"/>
        </w:tabs>
        <w:spacing w:lineRule="exact" w:line="600"/>
        <w:ind w:right="-91"/>
        <w:rPr>
          <w:rStyle w:val="C3"/>
          <w:sz w:val="32"/>
        </w:rPr>
      </w:pPr>
      <w:r>
        <w:rPr>
          <w:rStyle w:val="C3"/>
          <w:rFonts w:ascii="方正姚体" w:hAnsi="方正姚体"/>
          <w:sz w:val="32"/>
        </w:rPr>
        <w:t>　　（一）将第一条、第二条中的</w:t>
      </w:r>
      <w:r>
        <w:rPr>
          <w:rStyle w:val="C3"/>
          <w:sz w:val="32"/>
        </w:rPr>
        <w:t>“</w:t>
      </w:r>
      <w:r>
        <w:rPr>
          <w:rStyle w:val="C3"/>
          <w:rFonts w:ascii="方正姚体" w:hAnsi="方正姚体"/>
          <w:sz w:val="32"/>
        </w:rPr>
        <w:t>本规定</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本条例</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（二）将第七条第二款中的</w:t>
      </w:r>
      <w:r>
        <w:rPr>
          <w:rStyle w:val="C3"/>
          <w:sz w:val="32"/>
        </w:rPr>
        <w:t>“</w:t>
      </w:r>
      <w:r>
        <w:rPr>
          <w:rStyle w:val="C3"/>
          <w:rFonts w:ascii="方正姚体" w:hAnsi="方正姚体"/>
          <w:sz w:val="32"/>
        </w:rPr>
        <w:t>规划、土地、建设等有关部门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自然资源、住房城乡建设等有关主管部门</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（三）删去第十一条第二款。</w:t>
      </w:r>
    </w:p>
    <w:p>
      <w:pPr>
        <w:pStyle w:val="P1"/>
        <w:tabs>
          <w:tab w:val="left" w:pos="8505" w:leader="none"/>
        </w:tabs>
        <w:spacing w:lineRule="exact" w:line="600"/>
        <w:ind w:right="-91"/>
        <w:rPr>
          <w:rStyle w:val="C3"/>
          <w:sz w:val="32"/>
        </w:rPr>
      </w:pPr>
      <w:r>
        <w:rPr>
          <w:rStyle w:val="C3"/>
          <w:rFonts w:ascii="方正姚体" w:hAnsi="方正姚体"/>
          <w:sz w:val="32"/>
        </w:rPr>
        <w:t>　　（四）将第十七条中的</w:t>
      </w:r>
      <w:r>
        <w:rPr>
          <w:rStyle w:val="C3"/>
          <w:sz w:val="32"/>
        </w:rPr>
        <w:t>“</w:t>
      </w:r>
      <w:r>
        <w:rPr>
          <w:rStyle w:val="C3"/>
          <w:rFonts w:ascii="方正姚体" w:hAnsi="方正姚体"/>
          <w:sz w:val="32"/>
        </w:rPr>
        <w:t>土地行政主管部门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自然资源主管部门</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（五）删去第十九条第一款第二项，并将该款第三项中的</w:t>
      </w:r>
      <w:r>
        <w:rPr>
          <w:rStyle w:val="C3"/>
          <w:sz w:val="32"/>
        </w:rPr>
        <w:t>“</w:t>
      </w:r>
      <w:r>
        <w:rPr>
          <w:rStyle w:val="C3"/>
          <w:rFonts w:ascii="方正姚体" w:hAnsi="方正姚体"/>
          <w:sz w:val="32"/>
        </w:rPr>
        <w:t>或者</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和</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（六）将第二十四条第二款中的</w:t>
      </w:r>
      <w:r>
        <w:rPr>
          <w:rStyle w:val="C3"/>
          <w:sz w:val="32"/>
        </w:rPr>
        <w:t>“</w:t>
      </w:r>
      <w:r>
        <w:rPr>
          <w:rStyle w:val="C3"/>
          <w:rFonts w:ascii="方正姚体" w:hAnsi="方正姚体"/>
          <w:sz w:val="32"/>
        </w:rPr>
        <w:t>工商行政管理部门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市场监督管理部门</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（七）将第二十六条修改为：</w:t>
      </w:r>
      <w:r>
        <w:rPr>
          <w:rStyle w:val="C3"/>
          <w:sz w:val="32"/>
        </w:rPr>
        <w:t>“</w:t>
      </w:r>
      <w:r>
        <w:rPr>
          <w:rStyle w:val="C3"/>
          <w:rFonts w:ascii="方正姚体" w:hAnsi="方正姚体"/>
          <w:sz w:val="32"/>
        </w:rPr>
        <w:t>违反本条例第二十四条第一款规定，制造、销售封建迷信丧葬用品的，由县级以上人民政府民政部门会同市场监督管理部门予以没收，可以并处制造、销售金额一倍以上三倍以下罚款。</w:t>
      </w:r>
      <w:r>
        <w:rPr>
          <w:rStyle w:val="C3"/>
          <w:sz w:val="32"/>
        </w:rPr>
        <w:t>”</w:t>
      </w:r>
    </w:p>
    <w:p>
      <w:pPr>
        <w:pStyle w:val="P1"/>
        <w:tabs>
          <w:tab w:val="left" w:pos="8505" w:leader="none"/>
        </w:tabs>
        <w:spacing w:lineRule="exact" w:line="600"/>
        <w:ind w:right="-91"/>
        <w:rPr>
          <w:rStyle w:val="C3"/>
          <w:rFonts w:ascii="黑体" w:hAnsi="黑体"/>
          <w:sz w:val="32"/>
        </w:rPr>
      </w:pPr>
      <w:r>
        <w:rPr>
          <w:rStyle w:val="C3"/>
          <w:rFonts w:ascii="黑体" w:hAnsi="黑体"/>
          <w:sz w:val="32"/>
        </w:rPr>
        <w:t>　　三、对《广西壮族自治区特种行业治安管理条例》作出修改</w:t>
      </w:r>
    </w:p>
    <w:p>
      <w:pPr>
        <w:pStyle w:val="P1"/>
        <w:tabs>
          <w:tab w:val="left" w:pos="8505" w:leader="none"/>
        </w:tabs>
        <w:spacing w:lineRule="exact" w:line="600"/>
        <w:ind w:right="-91"/>
        <w:rPr>
          <w:rStyle w:val="C3"/>
          <w:sz w:val="32"/>
        </w:rPr>
      </w:pPr>
      <w:r>
        <w:rPr>
          <w:rStyle w:val="C3"/>
          <w:rFonts w:ascii="方正姚体" w:hAnsi="方正姚体"/>
          <w:sz w:val="32"/>
        </w:rPr>
        <w:t>　　（一）将第四条中的</w:t>
      </w:r>
      <w:r>
        <w:rPr>
          <w:rStyle w:val="C3"/>
          <w:sz w:val="32"/>
        </w:rPr>
        <w:t>“</w:t>
      </w:r>
      <w:r>
        <w:rPr>
          <w:rStyle w:val="C3"/>
          <w:rFonts w:ascii="方正姚体" w:hAnsi="方正姚体"/>
          <w:sz w:val="32"/>
        </w:rPr>
        <w:t>工商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市场监督管理</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（二）将第五条中的</w:t>
      </w:r>
      <w:r>
        <w:rPr>
          <w:rStyle w:val="C3"/>
          <w:sz w:val="32"/>
        </w:rPr>
        <w:t>“</w:t>
      </w:r>
      <w:r>
        <w:rPr>
          <w:rStyle w:val="C3"/>
          <w:rFonts w:ascii="方正姚体" w:hAnsi="方正姚体"/>
          <w:sz w:val="32"/>
        </w:rPr>
        <w:t>表彰</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表扬</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（三）删去第六条、第九条中的</w:t>
      </w:r>
      <w:r>
        <w:rPr>
          <w:rStyle w:val="C3"/>
          <w:sz w:val="32"/>
        </w:rPr>
        <w:t>“</w:t>
      </w:r>
      <w:r>
        <w:rPr>
          <w:rStyle w:val="C3"/>
          <w:rFonts w:ascii="方正姚体" w:hAnsi="方正姚体"/>
          <w:sz w:val="32"/>
        </w:rPr>
        <w:t>典当业</w:t>
      </w:r>
      <w:r>
        <w:rPr>
          <w:rStyle w:val="C3"/>
          <w:sz w:val="32"/>
        </w:rPr>
        <w:t>”</w:t>
      </w:r>
      <w:r>
        <w:rPr>
          <w:rStyle w:val="C3"/>
          <w:rFonts w:ascii="方正姚体" w:hAnsi="方正姚体"/>
          <w:sz w:val="32"/>
        </w:rPr>
        <w:t>。</w:t>
      </w:r>
    </w:p>
    <w:p>
      <w:pPr>
        <w:pStyle w:val="P1"/>
        <w:tabs>
          <w:tab w:val="left" w:pos="8505" w:leader="none"/>
        </w:tabs>
        <w:spacing w:lineRule="exact" w:line="600"/>
        <w:ind w:right="-91"/>
        <w:rPr>
          <w:rStyle w:val="C3"/>
          <w:sz w:val="32"/>
        </w:rPr>
      </w:pPr>
      <w:r>
        <w:rPr>
          <w:rStyle w:val="C3"/>
          <w:rFonts w:ascii="方正姚体" w:hAnsi="方正姚体"/>
          <w:sz w:val="32"/>
        </w:rPr>
        <w:t>　　（四）将第八条第四项修改为：</w:t>
      </w:r>
      <w:r>
        <w:rPr>
          <w:rStyle w:val="C3"/>
          <w:sz w:val="32"/>
        </w:rPr>
        <w:t>“</w:t>
      </w:r>
      <w:r>
        <w:rPr>
          <w:rStyle w:val="C3"/>
          <w:rFonts w:ascii="方正姚体" w:hAnsi="方正姚体"/>
          <w:sz w:val="32"/>
        </w:rPr>
        <w:t>（四）市场监督管理部门核发的营业执照</w:t>
      </w:r>
      <w:r>
        <w:rPr>
          <w:rStyle w:val="C3"/>
          <w:sz w:val="32"/>
        </w:rPr>
        <w:t>”</w:t>
      </w:r>
      <w:r>
        <w:rPr>
          <w:rStyle w:val="C3"/>
          <w:rFonts w:ascii="方正姚体" w:hAnsi="方正姚体"/>
          <w:sz w:val="32"/>
        </w:rPr>
        <w:t>。</w:t>
      </w:r>
    </w:p>
    <w:p>
      <w:pPr>
        <w:pStyle w:val="P1"/>
        <w:tabs>
          <w:tab w:val="left" w:pos="8505" w:leader="none"/>
        </w:tabs>
        <w:spacing w:lineRule="exact" w:line="580"/>
        <w:ind w:right="-91"/>
        <w:rPr>
          <w:rStyle w:val="C3"/>
          <w:sz w:val="32"/>
        </w:rPr>
      </w:pPr>
      <w:r>
        <w:rPr>
          <w:rStyle w:val="C3"/>
          <w:rFonts w:ascii="方正姚体" w:hAnsi="方正姚体"/>
          <w:sz w:val="32"/>
        </w:rPr>
        <w:t>　　（五）将第十一条第一款中的</w:t>
      </w:r>
      <w:r>
        <w:rPr>
          <w:rStyle w:val="C3"/>
          <w:sz w:val="32"/>
        </w:rPr>
        <w:t>“</w:t>
      </w:r>
      <w:r>
        <w:rPr>
          <w:rStyle w:val="C3"/>
          <w:rFonts w:ascii="方正姚体" w:hAnsi="方正姚体"/>
          <w:sz w:val="32"/>
        </w:rPr>
        <w:t>工商行政管理部门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市场监督管理部门</w:t>
      </w:r>
      <w:r>
        <w:rPr>
          <w:rStyle w:val="C3"/>
          <w:sz w:val="32"/>
        </w:rPr>
        <w:t>”</w:t>
      </w:r>
      <w:r>
        <w:rPr>
          <w:rStyle w:val="C3"/>
          <w:rFonts w:ascii="方正姚体" w:hAnsi="方正姚体"/>
          <w:sz w:val="32"/>
        </w:rPr>
        <w:t>。</w:t>
      </w:r>
    </w:p>
    <w:p>
      <w:pPr>
        <w:pStyle w:val="P1"/>
        <w:tabs>
          <w:tab w:val="left" w:pos="8505" w:leader="none"/>
        </w:tabs>
        <w:spacing w:lineRule="exact" w:line="580"/>
        <w:ind w:right="-91"/>
        <w:rPr>
          <w:rStyle w:val="C3"/>
          <w:sz w:val="32"/>
        </w:rPr>
      </w:pPr>
      <w:r>
        <w:rPr>
          <w:rStyle w:val="C3"/>
          <w:rFonts w:ascii="方正姚体" w:hAnsi="方正姚体"/>
          <w:sz w:val="32"/>
        </w:rPr>
        <w:t>　　（六）将第二十条第三项中的</w:t>
      </w:r>
      <w:r>
        <w:rPr>
          <w:rStyle w:val="C3"/>
          <w:sz w:val="32"/>
        </w:rPr>
        <w:t>“</w:t>
      </w:r>
      <w:r>
        <w:rPr>
          <w:rStyle w:val="C3"/>
          <w:rFonts w:ascii="方正姚体" w:hAnsi="方正姚体"/>
          <w:sz w:val="32"/>
        </w:rPr>
        <w:t>环保部门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生态环境主管部门</w:t>
      </w:r>
      <w:r>
        <w:rPr>
          <w:rStyle w:val="C3"/>
          <w:sz w:val="32"/>
        </w:rPr>
        <w:t>”</w:t>
      </w:r>
      <w:r>
        <w:rPr>
          <w:rStyle w:val="C3"/>
          <w:rFonts w:ascii="方正姚体" w:hAnsi="方正姚体"/>
          <w:sz w:val="32"/>
        </w:rPr>
        <w:t>。</w:t>
      </w:r>
    </w:p>
    <w:p>
      <w:pPr>
        <w:pStyle w:val="P1"/>
        <w:tabs>
          <w:tab w:val="left" w:pos="8505" w:leader="none"/>
        </w:tabs>
        <w:spacing w:lineRule="exact" w:line="580"/>
        <w:ind w:right="-91"/>
        <w:rPr>
          <w:rStyle w:val="C3"/>
          <w:sz w:val="32"/>
        </w:rPr>
      </w:pPr>
      <w:r>
        <w:rPr>
          <w:rStyle w:val="C3"/>
          <w:rFonts w:ascii="方正姚体" w:hAnsi="方正姚体"/>
          <w:sz w:val="32"/>
        </w:rPr>
        <w:t>　　（七）将第三十五条中的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580"/>
        <w:ind w:right="-91"/>
        <w:rPr>
          <w:rStyle w:val="C3"/>
          <w:rFonts w:ascii="黑体" w:hAnsi="黑体"/>
          <w:sz w:val="32"/>
        </w:rPr>
      </w:pPr>
      <w:r>
        <w:rPr>
          <w:rStyle w:val="C3"/>
          <w:rFonts w:ascii="方正姚体" w:hAnsi="方正姚体"/>
          <w:sz w:val="32"/>
        </w:rPr>
        <w:t>　</w:t>
      </w:r>
      <w:r>
        <w:rPr>
          <w:rStyle w:val="C3"/>
          <w:rFonts w:ascii="黑体" w:hAnsi="黑体"/>
          <w:sz w:val="32"/>
        </w:rPr>
        <w:t>　四、对《广西壮族自治区促进散装水泥发展和应用条例》作出修改</w:t>
      </w:r>
    </w:p>
    <w:p>
      <w:pPr>
        <w:pStyle w:val="P1"/>
        <w:tabs>
          <w:tab w:val="left" w:pos="8505" w:leader="none"/>
        </w:tabs>
        <w:spacing w:lineRule="exact" w:line="580"/>
        <w:ind w:right="-91"/>
        <w:rPr>
          <w:rStyle w:val="C3"/>
          <w:sz w:val="32"/>
        </w:rPr>
      </w:pPr>
      <w:r>
        <w:rPr>
          <w:rStyle w:val="C3"/>
          <w:rFonts w:ascii="方正姚体" w:hAnsi="方正姚体"/>
          <w:sz w:val="32"/>
        </w:rPr>
        <w:t>　　（一）将第五条第二款中的</w:t>
      </w:r>
      <w:r>
        <w:rPr>
          <w:rStyle w:val="C3"/>
          <w:sz w:val="32"/>
        </w:rPr>
        <w:t>“</w:t>
      </w:r>
      <w:r>
        <w:rPr>
          <w:rStyle w:val="C3"/>
          <w:rFonts w:ascii="方正姚体" w:hAnsi="方正姚体"/>
          <w:sz w:val="32"/>
        </w:rPr>
        <w:t>环境保护</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生态环境</w:t>
      </w:r>
      <w:r>
        <w:rPr>
          <w:rStyle w:val="C3"/>
          <w:sz w:val="32"/>
        </w:rPr>
        <w:t>”</w:t>
      </w:r>
      <w:r>
        <w:rPr>
          <w:rStyle w:val="C3"/>
          <w:rFonts w:ascii="方正姚体" w:hAnsi="方正姚体"/>
          <w:sz w:val="32"/>
        </w:rPr>
        <w:t>。</w:t>
      </w:r>
    </w:p>
    <w:p>
      <w:pPr>
        <w:pStyle w:val="P1"/>
        <w:tabs>
          <w:tab w:val="left" w:pos="8505" w:leader="none"/>
        </w:tabs>
        <w:spacing w:lineRule="exact" w:line="580"/>
        <w:ind w:right="-91"/>
        <w:rPr>
          <w:rStyle w:val="C3"/>
          <w:sz w:val="32"/>
        </w:rPr>
      </w:pPr>
      <w:r>
        <w:rPr>
          <w:rStyle w:val="C3"/>
          <w:rFonts w:ascii="方正姚体" w:hAnsi="方正姚体"/>
          <w:sz w:val="32"/>
        </w:rPr>
        <w:t>　　（二）将第五条第二款、第十条、第二十四条第一款中的</w:t>
      </w:r>
      <w:r>
        <w:rPr>
          <w:rStyle w:val="C3"/>
          <w:sz w:val="32"/>
        </w:rPr>
        <w:t>“</w:t>
      </w:r>
      <w:r>
        <w:rPr>
          <w:rStyle w:val="C3"/>
          <w:rFonts w:ascii="方正姚体" w:hAnsi="方正姚体"/>
          <w:sz w:val="32"/>
        </w:rPr>
        <w:t>住房和城乡建设</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住房城乡建设</w:t>
      </w:r>
      <w:r>
        <w:rPr>
          <w:rStyle w:val="C3"/>
          <w:sz w:val="32"/>
        </w:rPr>
        <w:t>”</w:t>
      </w:r>
      <w:r>
        <w:rPr>
          <w:rStyle w:val="C3"/>
          <w:rFonts w:ascii="方正姚体" w:hAnsi="方正姚体"/>
          <w:sz w:val="32"/>
        </w:rPr>
        <w:t>。</w:t>
      </w:r>
    </w:p>
    <w:p>
      <w:pPr>
        <w:pStyle w:val="P1"/>
        <w:tabs>
          <w:tab w:val="left" w:pos="8505" w:leader="none"/>
        </w:tabs>
        <w:spacing w:lineRule="exact" w:line="580"/>
        <w:ind w:right="-91"/>
        <w:rPr>
          <w:rStyle w:val="C3"/>
          <w:sz w:val="32"/>
        </w:rPr>
      </w:pPr>
      <w:r>
        <w:rPr>
          <w:rStyle w:val="C3"/>
          <w:rFonts w:ascii="方正姚体" w:hAnsi="方正姚体"/>
          <w:sz w:val="32"/>
        </w:rPr>
        <w:t>　　（三）将第五条第二款、第二十三条第一款中的</w:t>
      </w:r>
      <w:r>
        <w:rPr>
          <w:rStyle w:val="C3"/>
          <w:sz w:val="32"/>
        </w:rPr>
        <w:t>“</w:t>
      </w:r>
      <w:r>
        <w:rPr>
          <w:rStyle w:val="C3"/>
          <w:rFonts w:ascii="方正姚体" w:hAnsi="方正姚体"/>
          <w:sz w:val="32"/>
        </w:rPr>
        <w:t>质量技术监督</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市场监督管理</w:t>
      </w:r>
      <w:r>
        <w:rPr>
          <w:rStyle w:val="C3"/>
          <w:sz w:val="32"/>
        </w:rPr>
        <w:t>”</w:t>
      </w:r>
      <w:r>
        <w:rPr>
          <w:rStyle w:val="C3"/>
          <w:rFonts w:ascii="方正姚体" w:hAnsi="方正姚体"/>
          <w:sz w:val="32"/>
        </w:rPr>
        <w:t>。</w:t>
      </w:r>
    </w:p>
    <w:p>
      <w:pPr>
        <w:pStyle w:val="P1"/>
        <w:tabs>
          <w:tab w:val="left" w:pos="8505" w:leader="none"/>
        </w:tabs>
        <w:spacing w:lineRule="exact" w:line="580"/>
        <w:ind w:right="-91"/>
        <w:rPr>
          <w:rStyle w:val="C3"/>
          <w:sz w:val="32"/>
        </w:rPr>
      </w:pPr>
      <w:r>
        <w:rPr>
          <w:rStyle w:val="C3"/>
          <w:rFonts w:ascii="方正姚体" w:hAnsi="方正姚体"/>
          <w:sz w:val="32"/>
        </w:rPr>
        <w:t>　　（四）将第七条中的</w:t>
      </w:r>
      <w:r>
        <w:rPr>
          <w:rStyle w:val="C3"/>
          <w:sz w:val="32"/>
        </w:rPr>
        <w:t>“</w:t>
      </w:r>
      <w:r>
        <w:rPr>
          <w:rStyle w:val="C3"/>
          <w:rFonts w:ascii="方正姚体" w:hAnsi="方正姚体"/>
          <w:sz w:val="32"/>
        </w:rPr>
        <w:t>住房和城乡建设（规划）、环境保护等有关部门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住房城乡建设、自然资源、生态环境等有关主管部门</w:t>
      </w:r>
      <w:r>
        <w:rPr>
          <w:rStyle w:val="C3"/>
          <w:sz w:val="32"/>
        </w:rPr>
        <w:t>”</w:t>
      </w:r>
      <w:r>
        <w:rPr>
          <w:rStyle w:val="C3"/>
          <w:rFonts w:ascii="方正姚体" w:hAnsi="方正姚体"/>
          <w:sz w:val="32"/>
        </w:rPr>
        <w:t>。</w:t>
      </w:r>
    </w:p>
    <w:p>
      <w:pPr>
        <w:pStyle w:val="P1"/>
        <w:tabs>
          <w:tab w:val="left" w:pos="8505" w:leader="none"/>
        </w:tabs>
        <w:spacing w:lineRule="exact" w:line="580"/>
        <w:ind w:right="-91"/>
        <w:rPr>
          <w:rStyle w:val="C3"/>
          <w:sz w:val="32"/>
        </w:rPr>
      </w:pPr>
      <w:r>
        <w:rPr>
          <w:rStyle w:val="C3"/>
          <w:rFonts w:ascii="方正姚体" w:hAnsi="方正姚体"/>
          <w:sz w:val="32"/>
        </w:rPr>
        <w:t>　　（五）删去第二十一条。</w:t>
      </w:r>
    </w:p>
    <w:p>
      <w:pPr>
        <w:pStyle w:val="P1"/>
        <w:tabs>
          <w:tab w:val="left" w:pos="8505" w:leader="none"/>
        </w:tabs>
        <w:spacing w:lineRule="exact" w:line="580"/>
        <w:ind w:right="-91"/>
        <w:rPr>
          <w:rStyle w:val="C3"/>
          <w:sz w:val="32"/>
        </w:rPr>
      </w:pPr>
      <w:r>
        <w:rPr>
          <w:rStyle w:val="C3"/>
          <w:rFonts w:ascii="方正姚体" w:hAnsi="方正姚体"/>
          <w:sz w:val="32"/>
        </w:rPr>
        <w:t>　　（六）将第三十三条改为第三十二条，将该条中的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580"/>
        <w:ind w:right="-91"/>
        <w:rPr>
          <w:rStyle w:val="C3"/>
          <w:rFonts w:ascii="黑体" w:hAnsi="黑体"/>
          <w:sz w:val="32"/>
        </w:rPr>
      </w:pPr>
      <w:r>
        <w:rPr>
          <w:rStyle w:val="C3"/>
          <w:rFonts w:ascii="黑体" w:hAnsi="黑体"/>
          <w:sz w:val="32"/>
        </w:rPr>
        <w:t>　　五、废止《广西壮族自治区木材运输管理条例》</w:t>
      </w:r>
    </w:p>
    <w:p>
      <w:pPr>
        <w:pStyle w:val="P1"/>
        <w:tabs>
          <w:tab w:val="left" w:pos="8505" w:leader="none"/>
        </w:tabs>
        <w:spacing w:lineRule="exact" w:line="580"/>
        <w:ind w:right="-91"/>
        <w:rPr>
          <w:rStyle w:val="C3"/>
          <w:sz w:val="32"/>
        </w:rPr>
      </w:pPr>
      <w:r>
        <w:rPr>
          <w:rStyle w:val="C3"/>
          <w:rFonts w:ascii="方正姚体" w:hAnsi="方正姚体"/>
          <w:sz w:val="32"/>
        </w:rPr>
        <w:t>　　本决定自公布之日起施行。</w:t>
      </w:r>
    </w:p>
    <w:p>
      <w:pPr>
        <w:pStyle w:val="P1"/>
        <w:tabs>
          <w:tab w:val="left" w:pos="8505" w:leader="none"/>
        </w:tabs>
        <w:spacing w:lineRule="exact" w:line="580"/>
        <w:ind w:right="-91"/>
        <w:rPr>
          <w:rStyle w:val="C3"/>
          <w:sz w:val="32"/>
        </w:rPr>
      </w:pPr>
      <w:r>
        <w:rPr>
          <w:rStyle w:val="C3"/>
          <w:rFonts w:ascii="方正姚体" w:hAnsi="方正姚体"/>
          <w:sz w:val="32"/>
        </w:rPr>
        <w:t>　　《广西壮族自治区实施〈中华人民共和国水法〉办法》《广西壮族自治区殡葬管理条例》《广西壮族自治区特种行业治安管理条例》《广西壮族自治区促进散装水泥发展和应用条例》根据本决定作相应修改，重新公布。</w:t>
      </w:r>
    </w:p>
    <w:p>
      <w:pPr>
        <w:pStyle w:val="P1"/>
        <w:tabs>
          <w:tab w:val="left" w:pos="8505" w:leader="none"/>
        </w:tabs>
        <w:spacing w:lineRule="exact" w:line="580"/>
        <w:ind w:right="-91"/>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1921" w:y="-134"/>
      <w:rPr>
        <w:rStyle w:val="C9"/>
        <w:sz w:val="28"/>
      </w:rPr>
    </w:pPr>
    <w:r>
      <w:fldChar w:fldCharType="begin"/>
    </w:r>
    <w:r>
      <w:rPr>
        <w:rStyle w:val="C9"/>
        <w:sz w:val="28"/>
      </w:rPr>
      <w:instrText xml:space="preserve">PAGE  </w:instrText>
    </w:r>
    <w:r>
      <w:rPr>
        <w:rStyle w:val="C9"/>
        <w:sz w:val="28"/>
      </w:rPr>
      <w:fldChar w:fldCharType="separate"/>
    </w:r>
    <w:r>
      <w:rPr>
        <w:rStyle w:val="C9"/>
        <w:sz w:val="28"/>
      </w:rPr>
      <w:t>#</w:t>
    </w:r>
    <w:r>
      <w:rPr>
        <w:rStyle w:val="C9"/>
        <w:sz w:val="28"/>
      </w:rPr>
      <w:fldChar w:fldCharType="end"/>
    </w:r>
  </w:p>
  <w:p>
    <w:pPr>
      <w:pStyle w:val="P5"/>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页码"/>
    <w:rPr/>
  </w:style>
  <w:style w:type="character" w:styleId="C10">
    <w:name w:val="不明显参考"/>
    <w:qFormat/>
    <w:rPr>
      <w:color w:val="C0504D"/>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2020-09-28T10:10:00Z</dcterms:created>
  <cp:lastModifiedBy>f1TZOF\f1TZOF-</cp:lastModifiedBy>
  <cp:lastPrinted>2021-04-12T00:41:00Z</cp:lastPrinted>
  <dcterms:modified xsi:type="dcterms:W3CDTF">2024-08-28T01:37:27Z</dcterms:modified>
  <cp:revision>46</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1BBF4D888B1845D3BD05BEE9351DF0BD</vt:lpwstr>
  </property>
</Properties>
</file>