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22D48B" Type="http://schemas.openxmlformats.org/officeDocument/2006/relationships/officeDocument" Target="/word/document.xml" /><Relationship Id="coreR7D22D48B" Type="http://schemas.openxmlformats.org/package/2006/relationships/metadata/core-properties" Target="/docProps/core.xml" /><Relationship Id="customR7D22D4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rPr>
          <w:rStyle w:val="C3"/>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南宁市出租汽车客运管理条例</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left="657" w:right="668"/>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2006</w:t>
      </w:r>
      <w:r>
        <w:rPr>
          <w:rStyle w:val="C3"/>
          <w:rFonts w:ascii="Microsoft YaHei UI" w:hAnsi="Microsoft YaHei UI"/>
          <w:color w:val="000000"/>
          <w:sz w:val="32"/>
        </w:rPr>
        <w:t>年</w:t>
      </w:r>
      <w:r>
        <w:rPr>
          <w:rStyle w:val="C3"/>
          <w:color w:val="000000"/>
          <w:sz w:val="32"/>
        </w:rPr>
        <w:t>12</w:t>
      </w:r>
      <w:r>
        <w:rPr>
          <w:rStyle w:val="C3"/>
          <w:rFonts w:ascii="Microsoft YaHei UI" w:hAnsi="Microsoft YaHei UI"/>
          <w:color w:val="000000"/>
          <w:sz w:val="32"/>
        </w:rPr>
        <w:t>月</w:t>
      </w:r>
      <w:r>
        <w:rPr>
          <w:rStyle w:val="C3"/>
          <w:color w:val="000000"/>
          <w:sz w:val="32"/>
        </w:rPr>
        <w:t>30</w:t>
      </w:r>
      <w:r>
        <w:rPr>
          <w:rStyle w:val="C3"/>
          <w:rFonts w:ascii="Microsoft YaHei UI" w:hAnsi="Microsoft YaHei UI"/>
          <w:color w:val="000000"/>
          <w:sz w:val="32"/>
        </w:rPr>
        <w:t>日南宁市第十二届人民代表大会常务委员会第三次会议通过</w:t>
      </w:r>
      <w:r>
        <w:rPr>
          <w:rStyle w:val="C3"/>
          <w:rFonts w:ascii="楷体_GB2312" w:hAnsi="楷体_GB2312"/>
          <w:color w:val="000000"/>
          <w:sz w:val="32"/>
        </w:rPr>
        <w:t xml:space="preserve">  </w:t>
      </w:r>
      <w:r>
        <w:rPr>
          <w:rStyle w:val="C3"/>
          <w:color w:val="000000"/>
          <w:sz w:val="32"/>
        </w:rPr>
        <w:t>2007</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日广西壮族自治区第十届人民代表大会常务委员会第二十七次会议批准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2012</w:t>
      </w:r>
      <w:r>
        <w:rPr>
          <w:rStyle w:val="C3"/>
          <w:rFonts w:ascii="Microsoft YaHei UI" w:hAnsi="Microsoft YaHei UI"/>
          <w:color w:val="000000"/>
          <w:sz w:val="32"/>
        </w:rPr>
        <w:t>年</w:t>
      </w:r>
      <w:r>
        <w:rPr>
          <w:rStyle w:val="C3"/>
          <w:color w:val="000000"/>
          <w:sz w:val="32"/>
        </w:rPr>
        <w:t>3</w:t>
      </w:r>
      <w:r>
        <w:rPr>
          <w:rStyle w:val="C3"/>
          <w:rFonts w:ascii="Microsoft YaHei UI" w:hAnsi="Microsoft YaHei UI"/>
          <w:color w:val="000000"/>
          <w:sz w:val="32"/>
        </w:rPr>
        <w:t>月</w:t>
      </w:r>
      <w:r>
        <w:rPr>
          <w:rStyle w:val="C3"/>
          <w:color w:val="000000"/>
          <w:sz w:val="32"/>
        </w:rPr>
        <w:t>23</w:t>
      </w:r>
      <w:r>
        <w:rPr>
          <w:rStyle w:val="C3"/>
          <w:rFonts w:ascii="Microsoft YaHei UI" w:hAnsi="Microsoft YaHei UI"/>
          <w:color w:val="000000"/>
          <w:sz w:val="32"/>
        </w:rPr>
        <w:t>日广西壮族自治区第十一届人民代表大会常务委员会第二十七次会议关于批准《南宁市人民代表大会常务委员会关于修改〈南宁市市政设施管理条例〉等十五件地方性法规的决定》的决定第一次修正</w:t>
      </w:r>
      <w:r>
        <w:rPr>
          <w:rStyle w:val="C3"/>
          <w:rFonts w:ascii="楷体_GB2312" w:hAnsi="楷体_GB2312"/>
          <w:color w:val="000000"/>
          <w:sz w:val="32"/>
        </w:rPr>
        <w:t xml:space="preserve">  </w:t>
      </w:r>
      <w:r>
        <w:rPr>
          <w:rStyle w:val="C3"/>
          <w:color w:val="000000"/>
          <w:sz w:val="32"/>
        </w:rPr>
        <w:t>2019</w:t>
      </w:r>
      <w:r>
        <w:rPr>
          <w:rStyle w:val="C3"/>
          <w:rFonts w:ascii="Microsoft YaHei UI" w:hAnsi="Microsoft YaHei UI"/>
          <w:color w:val="000000"/>
          <w:sz w:val="32"/>
        </w:rPr>
        <w:t>年</w:t>
      </w:r>
      <w:r>
        <w:rPr>
          <w:rStyle w:val="C3"/>
          <w:color w:val="000000"/>
          <w:sz w:val="32"/>
        </w:rPr>
        <w:t>4</w:t>
      </w:r>
      <w:r>
        <w:rPr>
          <w:rStyle w:val="C3"/>
          <w:rFonts w:ascii="Microsoft YaHei UI" w:hAnsi="Microsoft YaHei UI"/>
          <w:color w:val="000000"/>
          <w:sz w:val="32"/>
        </w:rPr>
        <w:t>月</w:t>
      </w:r>
      <w:r>
        <w:rPr>
          <w:rStyle w:val="C3"/>
          <w:color w:val="000000"/>
          <w:sz w:val="32"/>
        </w:rPr>
        <w:t>26</w:t>
      </w:r>
      <w:r>
        <w:rPr>
          <w:rStyle w:val="C3"/>
          <w:rFonts w:ascii="Microsoft YaHei UI" w:hAnsi="Microsoft YaHei UI"/>
          <w:color w:val="000000"/>
          <w:sz w:val="32"/>
        </w:rPr>
        <w:t>日南宁市第十四届人民代表大会常务委员会第二十次会议修订通过</w:t>
      </w:r>
      <w:r>
        <w:rPr>
          <w:rStyle w:val="C3"/>
          <w:rFonts w:ascii="楷体_GB2312" w:hAnsi="楷体_GB2312"/>
          <w:color w:val="000000"/>
          <w:sz w:val="32"/>
        </w:rPr>
        <w:t xml:space="preserve">  </w:t>
      </w:r>
      <w:r>
        <w:rPr>
          <w:rStyle w:val="C3"/>
          <w:color w:val="000000"/>
          <w:sz w:val="32"/>
        </w:rPr>
        <w:t>2019</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25</w:t>
      </w:r>
      <w:r>
        <w:rPr>
          <w:rStyle w:val="C3"/>
          <w:rFonts w:ascii="Microsoft YaHei UI" w:hAnsi="Microsoft YaHei UI"/>
          <w:color w:val="000000"/>
          <w:sz w:val="32"/>
        </w:rPr>
        <w:t>日广西壮族自治区第十三届人民代表大会常务委员会第十次会议批准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日广西壮族自治区第十三届人民代表大会常务委员会第二十四次会议关于批准《南宁市人民代表大会常务委员会关于修改〈南宁市燃气管理条例〉等十六件地方性法规的决定》的决定第二次修正）</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为了加强出租汽车客运管理，维护出租汽车行业秩序，保障乘客、出租汽车企业和从业人员的合法权益，根据有关法律法规的规定，结合本市实际，制定本条例。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本市行政区域内出租汽车的客运经营和管理活动，适用本条例。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本条例所称出租汽车，是指按照乘客意愿提供客运服务的七座及七座以下乘用车，包括巡游出租汽车（以下简称巡游车）和网络预约出租汽车（以下简称网约车）。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市、县交通运输主管部门是本市出租汽车客运行业的行政主管部门，负责本条例的组织实施工作。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发展改革、工业和信息化、公安、自然资源、市场监督管理、税务等有关部门按照各自职责对出租汽车客运活动进行监督管理。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实行相对集中行政许可权制度的，由相对集中行政审批部门按照规定实施与出租汽</w:t>
      </w:r>
      <w:r>
        <w:rPr>
          <w:rStyle w:val="C3"/>
          <w:rFonts w:ascii="仿宋" w:hAnsi="仿宋"/>
          <w:color w:val="000000"/>
          <w:sz w:val="32"/>
        </w:rPr>
        <w:t>车管理</w:t>
      </w:r>
      <w:r>
        <w:rPr>
          <w:rStyle w:val="C3"/>
          <w:rFonts w:ascii="Microsoft YaHei UI" w:hAnsi="Microsoft YaHei UI"/>
          <w:color w:val="000000"/>
          <w:sz w:val="32"/>
        </w:rPr>
        <w:t>相关的行政许可。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本市出租汽车行业管理，应当遵循乘客为本、安全营运、适度发展、公平有序的原则。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鼓励出租汽车经营者使用新能源车辆从事出租汽车经营。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市人民政府应当根据区域特点、社会公众出行需求，编制出租汽车行业发展规划，促进巡游车转型升级和网约车管理创新，科学确定出租汽车运力规模，建立运力动态监测和调整机制，适应市场发展需要。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市交通运输主管部门应当根据出租汽车行业发展规划及运力动态监测结果，确定城区出租汽车运力规模。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县人民政府应当根据出租汽车行业发展规划，确定本县出租汽车运力规模。市交通运输主管部门应当加强监督指导。</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出租汽车行业协会应当加强行业自律，教育和督促会员单位遵守法律、法规和职业规范，提升服务质量，促进行业健康发展。</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营运资质管理</w:t>
      </w:r>
    </w:p>
    <w:p>
      <w:pPr>
        <w:pStyle w:val="P1"/>
        <w:spacing w:lineRule="exact" w:line="600"/>
        <w:jc w:val="center"/>
        <w:rPr>
          <w:rStyle w:val="C3"/>
          <w:rFonts w:ascii="宋体" w:hAnsi="宋体"/>
          <w:color w:val="000000"/>
          <w:sz w:val="32"/>
        </w:rPr>
      </w:pPr>
      <w:r>
        <w:rPr>
          <w:rStyle w:val="C3"/>
          <w:rFonts w:ascii="宋体" w:hAnsi="宋体"/>
          <w:color w:val="000000"/>
          <w:sz w:val="32"/>
        </w:rPr>
        <w:t xml:space="preserve">第一节  巡游车企业和车辆</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从事巡游车客运经营的，应当具备企业法人资格，并依法取得巡游车客运经营权。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巡游车客运经营权应当通过招标等公开方式投放市场。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交通运输主管部门应当以服务质量等因素为主要竞标条件，择优确定经营者。</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取得巡游车客运经营权并符合下列条件的企业，应当</w:t>
      </w:r>
      <w:r>
        <w:rPr>
          <w:rStyle w:val="C3"/>
          <w:rFonts w:ascii="仿宋" w:hAnsi="仿宋"/>
          <w:color w:val="000000"/>
          <w:sz w:val="32"/>
        </w:rPr>
        <w:t>自经营权取得</w:t>
      </w:r>
      <w:r>
        <w:rPr>
          <w:rStyle w:val="C3"/>
          <w:rFonts w:ascii="Microsoft YaHei UI" w:hAnsi="Microsoft YaHei UI"/>
          <w:color w:val="000000"/>
          <w:sz w:val="32"/>
        </w:rPr>
        <w:t>之日起十五日内向市、县交通运输主管部门提出申请，取得巡游车客运经营许可后方可从事经营活动：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（一）配备与经营规模相适应的经营场所、停车场地、车辆、驾驶员、管理人员，车辆产权归本企业所有；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（二）有健全的经营管理、安全管理、服务质量保障等制度；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（三）法律、法规规定的其他条件。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取得巡游车客运经营许可的企业应当自取得经营许可之日起十五日内，与交通运输主管部门签订经营权使用协议，并自协议签订之日起六个月内向市场投放巡游车。逾期未投放的，由交通运输主管部门按照协议约定收回巡游车客运经营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巡游车客运经营权实行无偿使用制度。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本条例施行前有偿取得的巡游车客运经营权按照原合同约定履行。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巡游车客运经营权的有效期为八年，有效期内经营权不得转让。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巡游车客运经营权届满需要延续的，巡游车企业应当在经营权有效期届满六十日前，向交通运输主管部门提出申请，由交通运输主管部门根据经营权的取得条件和申请人的服务质量信誉考核结果等，决定是否准许延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投入营运的巡游车车辆应当依法取得交通运输主管部门发放的车辆营运证，并符合下列规定：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（一）车辆符合安全和环保的相关标准，车辆类型、参数、性能、外观等符合规定要求；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（二）车辆前门外侧喷印经营企业名称、监督电话等服务标志；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（三）车身两侧规定的位置张贴收费标准；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（四）安装符合国家标准、具有行驶记录功能的车辆卫星定位装置、应急报警装置；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（五）安装符合规定的计程计价设备、空车待租标志、出租汽车顶灯；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（六）车辆状况良好，服务设施齐全完好。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未取得巡游车车辆营运证的机动车不得设置巡游车顶灯、空车待租标志和计程计价设备等营运设施、标志，或者类似的设施、标志。</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宋体" w:hAnsi="宋体"/>
          <w:color w:val="000000"/>
          <w:sz w:val="32"/>
        </w:rPr>
      </w:pPr>
      <w:r>
        <w:rPr>
          <w:rStyle w:val="C3"/>
          <w:rFonts w:ascii="宋体" w:hAnsi="宋体"/>
          <w:color w:val="000000"/>
          <w:sz w:val="32"/>
        </w:rPr>
        <w:t xml:space="preserve">第二节  网约车企业和车辆</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从事网约车客运经营的，应当符合下列条件，向市交通运输主管部门提出申请并取得网约车客运经营许可：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（一）具有企业法人资格；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（二）有国家、自治区规定的线上线下服务能力；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（三）在本市注册企业或者设立分支机构，并且具有与经营规模相适应的组织机构、信息系统、专职管理人员和安全生产、服务质量管理等能力；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（四）在本市有与注册车辆数量和驾驶员人数相适应的经营场所、服务网点；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（五）网络服务平台数据接入市交通运输主管部门的行业监管平台；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（六）法律、法规规定的其他条件。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取得网约车客运经营许可的企业应当自取得经营许可之日起十五日内，与市交通运输主管部门签订经营协议，并自协议签订之日起六个月内按照协议约定提供网约车经营服务。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网约车客运经营许可有效期为四年。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网约车客运经营许可期满需要延续的，网约车企业应当在经营许可有效期届满六十日前，向市交通运输主管部门提出申请，由市交通运输主管部门根据申请人的服务质量信誉考核结果等，决定是否准许延续。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从事网约车营运服务的车辆，应当取得市交通运输主管部门发放的车辆营运证，并符合下列规定：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（一）取得本市公安机关交通管理部门核发的机动车牌照和登记为网络预约出租客运的行驶证；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（二）车辆符合安全和环保相关标准，车辆类型、参数、性能等符合规定要求；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（三）安装符合国家标准、具有行驶记录功能的车辆卫星定位装置、应急报警装置；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（四）车辆内按照规定设置网约车专用标识；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（五）车辆为个人所有的，所有人名下无在营运期限内的其他网约车；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（六）法律、法规规定的其他条件。</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32"/>
        </w:rPr>
      </w:pPr>
      <w:r>
        <w:rPr>
          <w:rStyle w:val="C3"/>
          <w:rFonts w:ascii="宋体" w:hAnsi="宋体"/>
          <w:color w:val="000000"/>
          <w:sz w:val="32"/>
        </w:rPr>
        <w:t xml:space="preserve">第三节  出租汽车驾驶员</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从事出租汽车营运服务的驾驶员，应当符合下列条件，并取得出租汽车驾驶员从业资格证：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（一）取得相应准驾车型的机动车驾驶证，并且具有三年以上驾驶经历；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（二）在国家法定退休年龄以下，身体健康；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（三）最近三年内未被吊销出租汽车驾驶员从业资格证；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（四）无暴力犯罪、交通肇事犯罪、危险驾驶犯罪记录，无吸毒记录，无饮酒后驾驶记录，最近连续三个机动车记分周期无记满十二分的记录；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（五）符合法律、法规规定的其他条件。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网约车车辆为个人所有的，驾驶员应当为车辆所有人。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公安机关应当配合交通运输主管部门及时核查本条例第十九条第五项规定的信息，并将核查结果在三个工作日内反馈交通运输主管部门。</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营运服务管理</w:t>
      </w:r>
    </w:p>
    <w:p>
      <w:pPr>
        <w:pStyle w:val="P1"/>
        <w:spacing w:lineRule="exact" w:line="600"/>
        <w:jc w:val="center"/>
        <w:rPr>
          <w:rStyle w:val="C3"/>
          <w:rFonts w:ascii="宋体" w:hAnsi="宋体"/>
          <w:b w:val="1"/>
          <w:color w:val="000000"/>
          <w:sz w:val="32"/>
        </w:rPr>
      </w:pPr>
      <w:r>
        <w:rPr>
          <w:rStyle w:val="C3"/>
          <w:rFonts w:ascii="宋体" w:hAnsi="宋体"/>
          <w:color w:val="000000"/>
          <w:sz w:val="32"/>
        </w:rPr>
        <w:t xml:space="preserve">第一节  巡游车和网约车的共同规定</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出租汽车企业应当遵守下列规定：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（一）建立健全车辆和驾驶员档案，并按照交通运输主管部门要求报送涉及安全和行业稳定的资料和信息，配合公安等部门调取查阅相关数据信息；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（二）所聘请或者注册的驾驶员应当取得从业资格证，不得将车辆交给无从业资格证的人员营运；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（三）与驾驶员签订劳动、经营合同（协议）；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（四）建立健全教育培训制度，定期对管理人员和驾驶员进行法制、安全、业务等方面的教育培训；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（五）按照规定投保承运人责任险</w:t>
      </w:r>
      <w:r>
        <w:rPr>
          <w:rStyle w:val="C3"/>
          <w:rFonts w:ascii="仿宋" w:hAnsi="仿宋"/>
          <w:color w:val="000000"/>
          <w:sz w:val="32"/>
        </w:rPr>
        <w:t>、</w:t>
      </w:r>
      <w:r>
        <w:rPr>
          <w:rStyle w:val="C3"/>
          <w:rFonts w:ascii="Microsoft YaHei UI" w:hAnsi="Microsoft YaHei UI"/>
          <w:color w:val="000000"/>
          <w:sz w:val="32"/>
        </w:rPr>
        <w:t>乘客险、第三者责任险和国家规定的其他强制性保险；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（六）承担安全生产主体责任，落实安全生产管理经费，完善</w:t>
      </w:r>
      <w:r>
        <w:rPr>
          <w:rStyle w:val="C3"/>
          <w:rFonts w:ascii="Microsoft YaHei UI" w:hAnsi="Microsoft YaHei UI"/>
          <w:color w:val="000000"/>
          <w:sz w:val="32"/>
          <w:shd w:val="clear" w:color="auto" w:fill="FFFFFF"/>
        </w:rPr>
        <w:t>安全目标管理考核、安全检查、事故应急处理</w:t>
      </w:r>
      <w:r>
        <w:rPr>
          <w:rStyle w:val="C3"/>
          <w:rFonts w:ascii="Microsoft YaHei UI" w:hAnsi="Microsoft YaHei UI"/>
          <w:color w:val="000000"/>
          <w:sz w:val="32"/>
        </w:rPr>
        <w:t>等安全防范措施；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（七）法律、法规、规章的有关规定。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出租汽车驾驶员应当按照有关营运服务标准提供服务，并遵守下列规定：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（一）随车携带车辆营运证、驾驶员从业资格证，并亮证服务；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（二）按照规定使用计程计价设备，按照计程计价设备或者网约车平台显示的价格收费，为乘客开具相应的出租汽车发票；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（三）按照乘客指定的目的地选择合理路线行驶；确需绕道行驶的，应当向乘客说明，不得擅自绕道行驶；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（四）按照乘客要求提供车内设施的使用服务；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（五）安全行车、礼貌待客、语言文明、车内整洁，不得在车内吸烟；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（六）乘客遗忘在车上的物品，应当及时归还失主，或者送交所属企业、有关部门。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出租汽车驾驶员不得有下列行为：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（一）异地经营；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（二）未经乘客同意搭载其他乘客同行；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（三）无正当理由拒载或者中断服务；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（四）将巡游车交给无从业资格证的人员营运，将网约车交给他人营运；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（五）网约车在巡游车专用停靠站或者上下客站候客；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（六）网约车巡游揽客、固定线路揽客等不经网约车平台揽客，或者通过未取得经营许可的网络平台提供网约车营运服务。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乘客有下列情形之一的，出租汽车驾驶员有权拒载、中断营运或者送交有关部门处理：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（一）携带易燃、易爆、有毒等危险品，或者违禁品、污染物品、动物（导盲犬除外）乘车的；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（二）无人陪护的精神病人、醉酒者要求乘车的；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（三）要求在禁行路段行驶或者在禁停路段停车的；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（四）要求超载的；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（五）拒绝按照运价支付运费的；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（六）提出违反道路交通安全管理、治安管理规定的要求或者其他违法要求的。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出租汽车驾驶员有下列情形之一的，乘客可以拒付运费：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（一）不使用、不按照规定使用计程计价设备，不按照计程计价设备或者网约车平台显示的价格收费的；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（二）不按照规定提供出租汽车客运发票的；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（三）因车辆或者驾驶员原因无法完成营运的。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实行承包经营或者定额任务的，出租汽车企业应当将承包经营费用标准或者定额任务报交通运输主管部门备案。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出租汽车企业不得向出租汽车驾驶员收取或者变相收取手续费、发票费、高额抵押金或者保证金。</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出租汽车企业应当制定突发事件应急预案。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发生突发事件时，出租汽车企业应当服从交通运输主管部门的统一调度和指挥，安排出租汽车参加紧急救援。参加紧急救援所发生的费用，由政府给予补偿。</w:t>
      </w:r>
    </w:p>
    <w:p>
      <w:pPr>
        <w:pStyle w:val="P1"/>
        <w:spacing w:lineRule="exact" w:line="600"/>
        <w:ind w:firstLine="640"/>
        <w:rPr>
          <w:rStyle w:val="C3"/>
          <w:rFonts w:ascii="仿宋_GB2312" w:hAnsi="仿宋_GB2312"/>
          <w:color w:val="000000"/>
          <w:sz w:val="32"/>
          <w:shd w:val="clear" w:color="auto" w:fill="D9D9D9"/>
        </w:rPr>
      </w:pPr>
      <w:r>
        <w:rPr>
          <w:rStyle w:val="C3"/>
          <w:rFonts w:ascii="黑体" w:hAnsi="黑体"/>
          <w:color w:val="000000"/>
          <w:sz w:val="32"/>
        </w:rPr>
        <w:t xml:space="preserve">第二十八条  </w:t>
      </w:r>
      <w:r>
        <w:rPr>
          <w:rStyle w:val="C3"/>
          <w:rFonts w:ascii="Microsoft YaHei UI" w:hAnsi="Microsoft YaHei UI"/>
          <w:color w:val="000000"/>
          <w:sz w:val="32"/>
        </w:rPr>
        <w:t>出租汽车企业需停业、歇业的，应当提前三十日向原许可机关提出申请，并办理相关手续。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出租汽车车辆应当按照规定进行二级维护、综合性能检测、技术等级评定，并符合一级技术等级要求。不符合车辆一级技术等级要求的，应当停止营运。</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以出租汽车车辆为载体设置广告的，应当按照规定设置，不得遮挡驾驶员视线、车辆灯光、车辆号牌，不得影响车容车貌。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市、县人民政府应当将出租汽车综合服务区、停靠站、候客泊位等设施纳入城市基础设施建设规划。</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公安机关交通管理部门应当会同交通运输主管部门在适当位置为出租汽车设置临时停车泊位，方便出租汽车驾驶员在工作期间就餐、休息。</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宋体" w:hAnsi="宋体"/>
          <w:b w:val="1"/>
          <w:color w:val="000000"/>
          <w:sz w:val="32"/>
        </w:rPr>
      </w:pPr>
      <w:r>
        <w:rPr>
          <w:rStyle w:val="C3"/>
          <w:rFonts w:ascii="宋体" w:hAnsi="宋体"/>
          <w:color w:val="000000"/>
          <w:sz w:val="32"/>
        </w:rPr>
        <w:t xml:space="preserve">第二节  巡游车</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巡游车企业应当合理安排驾驶员交接班时间，避开早、晚客流高峰交接班。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巡游车企业每日投入营运的车辆不得少于本企业出租汽车总量的百分之六十，不得无故停运。</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巡游车计程计价设备应当符合市场监督管理部门和税务部门规定的标准和要求并经依法检定合格，不得私自安装、改装和维修。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计程计价设备检定有效期满或者失准时，应当暂停载客，并及时检定、维修。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巡游车车辆营运期限为八年，从车辆初始登记之日起计算。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巡游车车辆的营运期限届满，巡游车企业应当停止该车辆的营运，自车辆停止营运之日起五个工作日内，清除车身营运标志，拆除营运设施，向市、县交通运输主管部门交回相关营运证件及标志，并到公安机关交通管理部门办理相关手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在经营权期限内，巡游车企业需更新车辆的，应当到市、县交通运输主管部门办理更新手续。更新后的车辆可以在剩余的经营权期限内继续营运。不按照前款规定对巡游车作出处理的，不得办理车辆更新手续。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公安机关交通管理部门应当会同自然资源、交通运输等部门综合道路条件、车流量、人流量等因素，在主、次干道两侧、轨道交通出入口合理规划和设置巡游车上下客站，供巡游车上下乘客并即停即走。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大型宾馆、大型商场、娱乐场所、医院等公共场所和大型住宅小区应当设置巡游车停靠站；确无条件设置的，公安机关交通管理部门应当在附近道路设置巡游车临时停靠站，供巡游车临时停靠候客。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巡游车在停靠站候客时，应当依次排队、按序发车，不得欺行霸市、强行拉客，不得离车招揽乘客。</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机场、火车站、公路客运站、港口等交通枢纽的所有者、经营者、管理者应当设置巡游车专用候</w:t>
      </w:r>
      <w:r>
        <w:rPr>
          <w:rStyle w:val="C3"/>
          <w:rFonts w:ascii="仿宋" w:hAnsi="仿宋"/>
          <w:color w:val="000000"/>
          <w:sz w:val="32"/>
        </w:rPr>
        <w:t>客通道，实行免费开放，并维护现场秩序。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巡游车客运价格由市价格主管部门会同市交通运输主管部门制定，报市人民政府批准。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价格主管部门应当会同交通运输主管部门，综合巡游车行业定位、营运成本、交通状况、服务质量等因素，制定巡游车运价，并建立巡游车运价动态调整机制。调整巡游车客运价格，应当举行价格听证会。</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宋体" w:hAnsi="宋体"/>
          <w:b w:val="1"/>
          <w:color w:val="000000"/>
          <w:sz w:val="32"/>
        </w:rPr>
      </w:pPr>
      <w:r>
        <w:rPr>
          <w:rStyle w:val="C3"/>
          <w:rFonts w:ascii="宋体" w:hAnsi="宋体"/>
          <w:color w:val="000000"/>
          <w:sz w:val="32"/>
        </w:rPr>
        <w:t xml:space="preserve">第三节  网约车</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网约车企业应当承担承运人责任，按照国家、自治区有关规定开展经营服务，并遵守下列规定：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（一）网约车平台运行正常、稳定，提供二十四小时不间断服务；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（二）为乘客提供车辆、驾驶员信息，对车辆的运行和服务过程实行动态监控，保证线上登记的车辆、驾驶员与线下实际提供服务的车辆、驾驶员相一致；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（三）合理确定客运价格，明码标价；实行动态调价的，应当提前十五日报交通运输主管部门备案并向社会公告；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（四）依法采集、保存、使用网络数据，加强数据保护和安全管理。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网约车企业应当加强安全管理，遵守以下规定：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（一）实时录入网约车企业、车辆、驾驶员相关许可信息；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（二）将网约车平台相关静态信息以及订单信息、经营信息、定位信息、服务质量信息等营运数据，实时传输至市交通运输主管部门的行业监管平台；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（三）设置二十四小时运转的安全管理和应急处置团队，发现异常情况及时处置；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（四）在网络服务平台客户端显著位置设置</w:t>
      </w:r>
      <w:r>
        <w:rPr>
          <w:rStyle w:val="C3"/>
          <w:rFonts w:ascii="仿宋_GB2312" w:hAnsi="仿宋_GB2312"/>
          <w:color w:val="000000"/>
          <w:sz w:val="32"/>
        </w:rPr>
        <w:t>“</w:t>
      </w:r>
      <w:r>
        <w:rPr>
          <w:rStyle w:val="C3"/>
          <w:rFonts w:ascii="Microsoft YaHei UI" w:hAnsi="Microsoft YaHei UI"/>
          <w:color w:val="000000"/>
          <w:sz w:val="32"/>
        </w:rPr>
        <w:t>一键报警</w:t>
      </w:r>
      <w:r>
        <w:rPr>
          <w:rStyle w:val="C3"/>
          <w:rFonts w:ascii="仿宋_GB2312" w:hAnsi="仿宋_GB2312"/>
          <w:color w:val="000000"/>
          <w:sz w:val="32"/>
        </w:rPr>
        <w:t>”</w:t>
      </w:r>
      <w:r>
        <w:rPr>
          <w:rStyle w:val="C3"/>
          <w:rFonts w:ascii="仿宋" w:hAnsi="仿宋"/>
          <w:color w:val="000000"/>
          <w:sz w:val="32"/>
        </w:rPr>
        <w:t>程序。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机场、火车站等交通枢纽所有者、经营者、管理者应当设置网约车停靠区域，方便网约车上下客使用，并维护现场秩序。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网约车车辆行驶里程达到六十万公里或者行驶里程未达到六十万公里但使用年限达到八年的，应当停止营运。</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监督管理</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市交通运输主管部门应当建立出租汽车服务管理信息系统，与出租汽车企业信息平台互联互通，实现指挥调度、服务评价和行业监管的信息化。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市、县交通运输主管部门应当建立和完善出租汽车企业、驾驶员信用管理和服务质量信誉考核制度，定期向社会公布信用信息和服务质量信誉考核结果。服务质量信誉考核结果作为延续经营、市场准入退出的重要依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在经营期限内出现服务质量信誉考核不合格，或者连续二次出现基本合格的企业，由交通运输主管部门责令限期整改，逾期不整改或者整改后仍不合格的，责令停业整顿。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对违反本条例规定的行为，不能当场处理的，市、县交通运输主管部门可以暂扣出租汽车车辆营运证件，发给交通行政管理待理证，并责令当事人限期接受处理。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对没有车辆营运证件又无法当场提供其他有效证明的出租汽车车辆实施暂扣的，交通运输主管部门应当妥善保管车辆，不得使用，不得收取或者变相收取保管费用。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出租汽车企业应当建立投诉受理制度，公布投诉方式和监督电话，即时受理乘客咨询、投诉、遗失物查找等事宜，并在受理投诉后七日内做出答复处理。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网约车企业应当实行投诉冻结机制，对乘客投诉涉及安全或者拒载等重大服务质量问题未核查处理的，不得向被投诉驾驶员派单。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乘客认为出租汽车企业及其从业人员侵害其合法权益的，可以向市、县交通运输主管部门投诉。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市、县交通运输主管部门受理乘客投诉后，应当及时调查处理，并在受理之日起七个工作日内将调查处理结果书面答复投诉人；情况复杂的，应当在十五个工作日内书面答复投诉人。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市、县交通运输主管部门将投诉资料移送被投诉企业办理的，被投诉企业应当自接到移送的投诉资料之日起七日内将办理情况书面报交通运输主管部门。</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违反本条例规定的行为，法律、法规已有法律责任规定的，从其规定。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违反本条例第十九条第一款规定，未取得出租汽车驾驶员从业资格证驾驶出租汽车从事营运活动的，由交通运输主管部门责令停止违法行为，处三千元以上一万元以下罚款。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巡游车企业有下列行为之一的，由交通运输主管部门责令改正，按照以下规定处罚：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（一）违反第十一条第一项规定，使用不属于本企业法人财产的巡游车营运的，按照每辆车辆处二千元以上二万元以下罚款；情节严重的，吊销巡游车客运经营许可证；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（二）违反本条例第三十二条第二款规定，每日投入营运的车辆少于本企业出租汽车总量的百分之六十的，按照每日处二千元以上二万元以下罚款；情节严重的，吊销巡游车客运经营许可证；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三十四条第二款规定，巡游车车辆营运期限届满仍继续营运的，按照每辆车辆处三千元以上一万元以下罚款；未清除车身营运标志、拆除营运设施，或者未交回相关营运证件及标志的，责令改正，按照每辆车辆处五百元以上一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网约车企业违反本条例第三十八条第一项至第三项规定和第三十九条规定的，由交通运输主管部门责令限期改正，处五千元以上一万元以下罚款；情节严重的，处一万元以上三万元以下罚款；情节特别严重的，责令停业整顿或者吊销网约车客运经营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网约车企业不具备本条例第十六条规定条件的，责令停业整顿；整顿不合格的，撤销网约车客运经营许可。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出租汽车企业有下列情形之一的，由交通运输主管部门</w:t>
      </w:r>
      <w:r>
        <w:rPr>
          <w:rStyle w:val="C3"/>
          <w:rFonts w:ascii="仿宋" w:hAnsi="仿宋"/>
          <w:color w:val="000000"/>
          <w:sz w:val="32"/>
        </w:rPr>
        <w:t>按照</w:t>
      </w:r>
      <w:r>
        <w:rPr>
          <w:rStyle w:val="C3"/>
          <w:rFonts w:ascii="Microsoft YaHei UI" w:hAnsi="Microsoft YaHei UI"/>
          <w:color w:val="000000"/>
          <w:sz w:val="32"/>
        </w:rPr>
        <w:t>下列规定进行处罚：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（一）违反本条例第二十一条第一项规定，未建立健全车辆和驾驶员档案或者不按照要求报送安全和行业稳定的资料和信息的，责令限期改正；逾期不改正的，处一千元以上五千元以下罚款；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（二）违反本条例第二十一条第二项规定，将车辆交给无从业资格证的人员营运的，责令改正，处一千元以上五千元以下罚款；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（三）违反本条例第二十六条第二款规定，向出租汽车驾驶员收取或者变相收取手续费、发票费、高额抵押金或者保证金的，责令退还所收费用，处二千元以上二万元以下罚款。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违反本条例规定，出租汽车车辆有下列情形之一的，由交通运输主管部门责令改正、停止营运，并按照每辆车辆处五百元以上二千元以下罚款：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（一）违反本条例第十五条第一款、第十八条规定，车辆不符合规定标准的；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（二）违反本条例第二十九条规定，不符合车辆一级技术等级要求仍继续营运的。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违反本条例第十五条第二款规定，未取得巡游车车辆营运证的机动车设置巡游车顶灯、空车待租标示、计程计价设备等营运设施、标志或者类似的设施、标志的，处一万元以上三万元以下罚款。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出租汽车驾驶员有下列情形之一的，由交通运输主管部门责令改正，按照下列规定进行处罚：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（一）违反本条例第二十二条规定的，处二百元以上</w:t>
      </w:r>
      <w:r>
        <w:rPr>
          <w:rStyle w:val="C3"/>
          <w:rFonts w:ascii="仿宋" w:hAnsi="仿宋"/>
          <w:color w:val="000000"/>
          <w:sz w:val="32"/>
        </w:rPr>
        <w:t>三千</w:t>
      </w:r>
      <w:r>
        <w:rPr>
          <w:rStyle w:val="C3"/>
          <w:rFonts w:ascii="Microsoft YaHei UI" w:hAnsi="Microsoft YaHei UI"/>
          <w:color w:val="000000"/>
          <w:sz w:val="32"/>
        </w:rPr>
        <w:t>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（二）违反本条例第二十三条第一项至第五项规定的，处二百元以上三千元以下罚款；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（三）违反本条例第二十三条第六项规定的，处一千元以上一万元以下罚款；情节严重的，吊销从业资格证；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（四）违反本条例第三十三条第二款规定，计程计价设备达到检定周期或者失准时未停止载客的，处二百元以上一千元以下罚款；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（五）违反本条例第三十五条第三款规定，在巡游车停靠站候客时不依次排队、不按序发车，离车招揽乘客的，处一千元以上三千元以下罚款。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违反本条例第三十五条第三款规定，出租汽车驾驶员欺行霸市、强行拉客的，除公安机关依法处罚外，情节严重的，由交通运输主管部门吊销从业资格证。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违反本条例第三十六条规定，不设置巡游车专用候客通道或者不实行免费开放的，由交通运输主管部门责令限期改正，逾期不改正的，处一万元以上三万元以下罚款。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违反本条例第四十条规定，不设置网约车停靠区域的，由交通运输主管部门责令限期改正，逾期不改正的，处一万元以上三万元以下罚款。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违反本条例第四十五条第一款规定，出租汽车企业未建立、落实投诉受理制度的，由交通运输主管部门责令限期改正，逾期不改正的，处三千元以上二万元以下罚款。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违反本条例第四十五条第二款规定，网约车企业未实行投诉冻结机制的，由交通运输主管部门责令改正，处三千元以上二万元以下罚款。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交通运输等相关部门的工作人员玩忽职守、滥用职权、徇私舞弊的，由其所在单位或者上级主管部门按照规定权限依法给予处分。构成犯罪的，依法追究刑事责任。</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jc w:val="center"/>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本条例下列用语的含义：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（一）异地经营，是指巡游车、网约车超出批准的经营区域经营，起讫点均不在许可的经营区域内。</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拒载，是指巡游车驾驶员所驾驶的车辆开启空车待租标志灯后，遇乘客扬招，停车问询目的地后不载客，在停靠站或者路边待租时拒绝载客；巡游车、网约车在尚未到达乘客指定的目的地之前，无正当理由中断或者停止营运；巡游车、网约车接受电话或者网约车平台的服务预约后，未按照承诺营运等行为。</w:t>
      </w:r>
    </w:p>
    <w:p>
      <w:pPr>
        <w:pStyle w:val="P1"/>
        <w:spacing w:lineRule="exact" w:line="600"/>
        <w:ind w:firstLine="640"/>
        <w:rPr>
          <w:rStyle w:val="C3"/>
          <w:color w:val="000000"/>
        </w:rPr>
      </w:pPr>
      <w:r>
        <w:rPr>
          <w:rStyle w:val="C3"/>
          <w:rFonts w:ascii="黑体" w:hAnsi="黑体"/>
          <w:color w:val="000000"/>
          <w:sz w:val="32"/>
        </w:rPr>
        <w:t xml:space="preserve">第五十八条  </w:t>
      </w:r>
      <w:r>
        <w:rPr>
          <w:rStyle w:val="C3"/>
          <w:rFonts w:ascii="Microsoft YaHei UI" w:hAnsi="Microsoft YaHei UI"/>
          <w:color w:val="000000"/>
          <w:sz w:val="32"/>
        </w:rPr>
        <w:t>本条例自</w:t>
      </w:r>
      <w:r>
        <w:rPr>
          <w:rStyle w:val="C3"/>
          <w:color w:val="000000"/>
          <w:sz w:val="32"/>
        </w:rPr>
        <w:t>2019</w:t>
      </w:r>
      <w:r>
        <w:rPr>
          <w:rStyle w:val="C3"/>
          <w:rFonts w:ascii="Microsoft YaHei UI" w:hAnsi="Microsoft YaHei UI"/>
          <w:color w:val="000000"/>
          <w:sz w:val="32"/>
        </w:rPr>
        <w:t>年</w:t>
      </w:r>
      <w:r>
        <w:rPr>
          <w:rStyle w:val="C3"/>
          <w:color w:val="000000"/>
          <w:sz w:val="32"/>
        </w:rPr>
        <w:t>10</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2024-08-28T01:37:27Z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181E3E9F858649E7808161057CBB2332</vt:lpwstr>
  </property>
</Properties>
</file>