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46BA5" w14:textId="77777777" w:rsidR="004C310E" w:rsidRDefault="00000000" w:rsidP="000E21D3">
      <w:pPr>
        <w:rPr>
          <w:rFonts w:ascii="宋体" w:eastAsia="宋体" w:hAnsi="宋体" w:cs="Arial"/>
          <w:bCs/>
          <w:sz w:val="44"/>
          <w:szCs w:val="44"/>
        </w:rPr>
      </w:pPr>
      <w:bookmarkStart w:id="0" w:name="Title"/>
      <w:r>
        <w:rPr>
          <w:rFonts w:ascii="宋体" w:eastAsia="宋体" w:hAnsi="宋体" w:cs="Arial"/>
          <w:bCs/>
          <w:sz w:val="44"/>
          <w:szCs w:val="44"/>
        </w:rPr>
        <w:t>第十四届全国人民代表大会第一次会议关于</w:t>
      </w:r>
    </w:p>
    <w:p w14:paraId="1032599C" w14:textId="77777777" w:rsidR="004C310E" w:rsidRDefault="00000000">
      <w:pPr>
        <w:jc w:val="center"/>
        <w:rPr>
          <w:rFonts w:ascii="宋体" w:eastAsia="宋体" w:hAnsi="宋体" w:cs="Arial"/>
          <w:bCs/>
          <w:sz w:val="44"/>
          <w:szCs w:val="44"/>
        </w:rPr>
      </w:pPr>
      <w:r>
        <w:rPr>
          <w:rFonts w:ascii="宋体" w:eastAsia="宋体" w:hAnsi="宋体" w:cs="Arial"/>
          <w:bCs/>
          <w:sz w:val="44"/>
          <w:szCs w:val="44"/>
        </w:rPr>
        <w:t>国务院机构改革方案的决定</w:t>
      </w:r>
      <w:bookmarkEnd w:id="0"/>
    </w:p>
    <w:p w14:paraId="76A45FC7" w14:textId="77777777" w:rsidR="004C310E" w:rsidRDefault="004C310E">
      <w:pPr>
        <w:ind w:leftChars="200" w:left="632" w:rightChars="200" w:right="632"/>
        <w:rPr>
          <w:rFonts w:ascii="宋体" w:eastAsia="宋体" w:hAnsi="宋体" w:cs="Arial"/>
          <w:bCs/>
          <w:szCs w:val="32"/>
        </w:rPr>
      </w:pPr>
      <w:bookmarkStart w:id="1" w:name="AddRun"/>
    </w:p>
    <w:p w14:paraId="1AFB58A5" w14:textId="77777777" w:rsidR="004C310E"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2023</w:t>
      </w:r>
      <w:r>
        <w:rPr>
          <w:rFonts w:ascii="楷体_GB2312" w:eastAsia="楷体_GB2312" w:hAnsi="Arial" w:cs="Arial" w:hint="eastAsia"/>
          <w:szCs w:val="32"/>
        </w:rPr>
        <w:t>年</w:t>
      </w:r>
      <w:r>
        <w:rPr>
          <w:rFonts w:eastAsia="楷体_GB2312"/>
          <w:szCs w:val="32"/>
        </w:rPr>
        <w:t>3</w:t>
      </w:r>
      <w:r>
        <w:rPr>
          <w:rFonts w:ascii="楷体_GB2312" w:eastAsia="楷体_GB2312" w:hAnsi="Arial" w:cs="Arial" w:hint="eastAsia"/>
          <w:szCs w:val="32"/>
        </w:rPr>
        <w:t>月</w:t>
      </w:r>
      <w:r>
        <w:rPr>
          <w:rFonts w:eastAsia="楷体_GB2312"/>
          <w:szCs w:val="32"/>
        </w:rPr>
        <w:t>10</w:t>
      </w:r>
      <w:r>
        <w:rPr>
          <w:rFonts w:ascii="楷体_GB2312" w:eastAsia="楷体_GB2312" w:hAnsi="Arial" w:cs="Arial" w:hint="eastAsia"/>
          <w:szCs w:val="32"/>
        </w:rPr>
        <w:t>日第十四届全国人民代表大会第一次会议通过）</w:t>
      </w:r>
      <w:bookmarkEnd w:id="2"/>
    </w:p>
    <w:p w14:paraId="37847574" w14:textId="77777777" w:rsidR="004C310E" w:rsidRDefault="004C310E">
      <w:pPr>
        <w:rPr>
          <w:rFonts w:ascii="宋体" w:eastAsia="宋体" w:hAnsi="宋体" w:cs="宋体"/>
        </w:rPr>
      </w:pPr>
    </w:p>
    <w:p w14:paraId="6F9AAFDD" w14:textId="77777777" w:rsidR="004C310E" w:rsidRDefault="00000000">
      <w:pPr>
        <w:ind w:firstLine="640"/>
      </w:pPr>
      <w:r>
        <w:rPr>
          <w:rFonts w:ascii="仿宋_GB2312" w:hAnsi="仿宋_GB2312" w:cs="仿宋_GB2312"/>
        </w:rPr>
        <w:t>第十四届全国人民代表大会第一次会议听取了国务委员兼国务院秘书长肖捷受国务院委托所作的关于国务院机构改革方案的说明，审议了国务院机构改革方案，决定批准这个方案。</w:t>
      </w:r>
    </w:p>
    <w:p w14:paraId="1C59B17D" w14:textId="77777777" w:rsidR="004C310E" w:rsidRDefault="00000000">
      <w:pPr>
        <w:ind w:firstLine="640"/>
        <w:rPr>
          <w:rFonts w:ascii="仿宋_GB2312" w:hAnsi="仿宋_GB2312" w:cs="仿宋_GB2312"/>
        </w:rPr>
      </w:pPr>
      <w:r>
        <w:rPr>
          <w:rFonts w:ascii="仿宋_GB2312" w:hAnsi="仿宋_GB2312" w:cs="仿宋_GB2312"/>
        </w:rPr>
        <w:t>会议要求，国务院要坚持党中央集中统一领导，周密部署，精心组织，确保完成国务院机构改革任务。实施机构改革方案需要制定或修改法律的，要及时启动相关程序，依法提请全国人民代表大会常务委员会审议。</w:t>
      </w:r>
    </w:p>
    <w:p w14:paraId="37FADA28" w14:textId="77777777" w:rsidR="004C310E" w:rsidRDefault="004C310E">
      <w:pPr>
        <w:ind w:firstLine="640"/>
        <w:rPr>
          <w:rFonts w:ascii="宋体" w:eastAsia="宋体" w:hAnsi="宋体" w:cs="宋体"/>
        </w:rPr>
      </w:pPr>
    </w:p>
    <w:p w14:paraId="2D9010E4" w14:textId="77777777" w:rsidR="004C310E" w:rsidRDefault="00000000">
      <w:pPr>
        <w:ind w:firstLine="640"/>
        <w:jc w:val="center"/>
        <w:rPr>
          <w:rFonts w:ascii="仿宋_GB2312" w:hAnsi="仿宋_GB2312" w:cs="仿宋_GB2312"/>
        </w:rPr>
      </w:pPr>
      <w:r>
        <w:rPr>
          <w:rFonts w:ascii="宋体" w:eastAsia="宋体" w:hAnsi="宋体" w:cs="Arial"/>
          <w:bCs/>
          <w:sz w:val="44"/>
          <w:szCs w:val="44"/>
        </w:rPr>
        <w:t>国务院机构改革方案</w:t>
      </w:r>
    </w:p>
    <w:p w14:paraId="0AE4C4F0" w14:textId="77777777" w:rsidR="004C310E" w:rsidRDefault="004C310E">
      <w:pPr>
        <w:ind w:firstLine="640"/>
        <w:rPr>
          <w:rFonts w:ascii="宋体" w:eastAsia="宋体" w:hAnsi="宋体" w:cs="宋体"/>
        </w:rPr>
      </w:pPr>
    </w:p>
    <w:p w14:paraId="0563D0F5" w14:textId="77777777" w:rsidR="004C310E" w:rsidRDefault="00000000">
      <w:pPr>
        <w:ind w:firstLine="640"/>
      </w:pPr>
      <w:r>
        <w:rPr>
          <w:rFonts w:ascii="仿宋_GB2312" w:hAnsi="仿宋_GB2312" w:cs="仿宋_GB2312"/>
        </w:rPr>
        <w:t>党的二十届二中全会通过了《党和国家机构改革方案》，深化国务院机构改革是其中的一项重要任务。必须以习近平新时代中国特色社会主义思想为指导，以加强党中央集中统一领导为统领，以推进国家治理体系和治理能力现代化为导向，坚持稳中求进工作总基调，适应统筹推进“五位一体”总体布局、协调推进“四个全面”战略布局的要求，适应构建新发展格局、推动高质</w:t>
      </w:r>
      <w:r>
        <w:rPr>
          <w:rFonts w:ascii="仿宋_GB2312" w:hAnsi="仿宋_GB2312" w:cs="仿宋_GB2312"/>
        </w:rPr>
        <w:lastRenderedPageBreak/>
        <w:t>量发展的需要，加强科学技术、金融监管、数据管理、乡村振兴、知识产权、老龄工作等重点领域的机构职责优化和调整，转变政府职能，加快建设法治政府，为全面建设社会主义现代化国家、全面推进中华民族伟大复兴提供有力保障。</w:t>
      </w:r>
    </w:p>
    <w:p w14:paraId="6153E918" w14:textId="77777777" w:rsidR="004C310E" w:rsidRDefault="00000000">
      <w:pPr>
        <w:ind w:firstLine="640"/>
      </w:pPr>
      <w:r>
        <w:rPr>
          <w:rFonts w:ascii="仿宋_GB2312" w:hAnsi="仿宋_GB2312" w:cs="仿宋_GB2312"/>
        </w:rPr>
        <w:t>一、重新组建科学技术部。加强科学技术</w:t>
      </w:r>
      <w:proofErr w:type="gramStart"/>
      <w:r>
        <w:rPr>
          <w:rFonts w:ascii="仿宋_GB2312" w:hAnsi="仿宋_GB2312" w:cs="仿宋_GB2312"/>
        </w:rPr>
        <w:t>部推动</w:t>
      </w:r>
      <w:proofErr w:type="gramEnd"/>
      <w:r>
        <w:rPr>
          <w:rFonts w:ascii="仿宋_GB2312" w:hAnsi="仿宋_GB2312" w:cs="仿宋_GB2312"/>
        </w:rPr>
        <w:t>健全新型举国体制、优化科技创新全链条管理、促进科技成果转化、促进科技和经济社会发展相结合等职能，强化战略规划、体制改革、资源统筹、综合协调、政策法规、督促检查等宏观管理职责，保留国家基础研究和应用基础研究、国家实验室建设、国家科技重大专项、国家技术转移体系建设、科技成果转移转化和产学研结合、区域科技创新体系建设、科技监督评价体系建设、科研诚信建设、国际科技合作、科技人才队伍建设、国家科技评奖等相关职责，仍作为国务院组成部门。</w:t>
      </w:r>
    </w:p>
    <w:p w14:paraId="6B22305B" w14:textId="77777777" w:rsidR="004C310E" w:rsidRDefault="00000000">
      <w:pPr>
        <w:ind w:firstLine="640"/>
      </w:pPr>
      <w:r>
        <w:rPr>
          <w:rFonts w:ascii="仿宋_GB2312" w:hAnsi="仿宋_GB2312" w:cs="仿宋_GB2312"/>
        </w:rPr>
        <w:t>将科学技术部的组织拟订科技促进农业农村发展规划和政策、指导农村科技进步职责划入农业农村部。将科学技术部的组织拟订科技促进社会发展规划和政策职责分别划入国家发展和改革委员会、生态环境部、国家卫生健康委员会等部门。将科学技术部的组织拟订高新技术发展及产业化规划和政策，指导国家自主创新示范区、国家高新技术产业开发区等科技园区建设，指导科技服务业、技术市场、科技中介组织发展等职责划入工业和信息化部。将科学技术部的负责引进国外智力工作职责划入人力资源和社会保障部，在人力资源和社会保障部加挂国家外国专家局</w:t>
      </w:r>
      <w:r>
        <w:rPr>
          <w:rFonts w:ascii="仿宋_GB2312" w:hAnsi="仿宋_GB2312" w:cs="仿宋_GB2312"/>
        </w:rPr>
        <w:lastRenderedPageBreak/>
        <w:t>牌子。</w:t>
      </w:r>
    </w:p>
    <w:p w14:paraId="19A60FD1" w14:textId="77777777" w:rsidR="004C310E" w:rsidRDefault="00000000">
      <w:pPr>
        <w:ind w:firstLine="640"/>
      </w:pPr>
      <w:r>
        <w:rPr>
          <w:rFonts w:ascii="仿宋_GB2312" w:hAnsi="仿宋_GB2312" w:cs="仿宋_GB2312"/>
        </w:rPr>
        <w:t>深化财政科技经费分配使用机制改革，完善中央财政科技计划执行和专业机构管理体制，调整科学技术部的中央财政科技计划（专项、基金等）协调管理、科研项目资金协调评估等职责，将科学技术部所属中国农村技术开发中心划入农业农村部，中国生物技术发展中心划入国家卫生健康委员会，中国</w:t>
      </w:r>
      <w:r>
        <w:t>21</w:t>
      </w:r>
      <w:r>
        <w:rPr>
          <w:rFonts w:ascii="仿宋_GB2312" w:hAnsi="仿宋_GB2312" w:cs="仿宋_GB2312"/>
        </w:rPr>
        <w:t>世纪议程管理中心、科学技术部高技术研究发展中心划入国家自然科学基金委员会。</w:t>
      </w:r>
    </w:p>
    <w:p w14:paraId="12B9890A" w14:textId="77777777" w:rsidR="004C310E" w:rsidRDefault="00000000">
      <w:pPr>
        <w:ind w:firstLine="640"/>
      </w:pPr>
      <w:r>
        <w:rPr>
          <w:rFonts w:ascii="仿宋_GB2312" w:hAnsi="仿宋_GB2312" w:cs="仿宋_GB2312"/>
        </w:rPr>
        <w:t>国家自然科学基金委员会仍由科学技术部管理。</w:t>
      </w:r>
    </w:p>
    <w:p w14:paraId="72CAFC60" w14:textId="77777777" w:rsidR="004C310E" w:rsidRDefault="00000000">
      <w:pPr>
        <w:ind w:firstLine="640"/>
      </w:pPr>
      <w:r>
        <w:rPr>
          <w:rFonts w:ascii="仿宋_GB2312" w:hAnsi="仿宋_GB2312" w:cs="仿宋_GB2312"/>
        </w:rPr>
        <w:t>科学技术部不再保留国家外国专家局牌子。</w:t>
      </w:r>
    </w:p>
    <w:p w14:paraId="7040F478" w14:textId="77777777" w:rsidR="004C310E" w:rsidRDefault="00000000">
      <w:pPr>
        <w:ind w:firstLine="640"/>
      </w:pPr>
      <w:r>
        <w:rPr>
          <w:rFonts w:ascii="仿宋_GB2312" w:hAnsi="仿宋_GB2312" w:cs="仿宋_GB2312"/>
        </w:rPr>
        <w:t>二、组建国家金融监督管理总局。统一负责除证券业之外的金融业监管，强化机构监管、行为监管、功能监管、穿透式监管、持续监管，统筹负责金融消费者权益保护，加强风险管理和防范处置，依法查处违法违规行为，作为国务院直属机构。</w:t>
      </w:r>
    </w:p>
    <w:p w14:paraId="06EF9AB4" w14:textId="77777777" w:rsidR="004C310E" w:rsidRDefault="00000000">
      <w:pPr>
        <w:ind w:firstLine="640"/>
      </w:pPr>
      <w:r>
        <w:rPr>
          <w:rFonts w:ascii="仿宋_GB2312" w:hAnsi="仿宋_GB2312" w:cs="仿宋_GB2312"/>
        </w:rPr>
        <w:t>国家金融监督管理总局在中国银行保险监督管理委员会基础上组建，将中国人民银行对金融控股公司等金融集团的日常监管职责、有关金融消费者保护职责，中国证券监督管理委员会的投资者保护职责划入国家金融监督管理总局。</w:t>
      </w:r>
    </w:p>
    <w:p w14:paraId="310EAFA7" w14:textId="77777777" w:rsidR="004C310E" w:rsidRDefault="00000000">
      <w:pPr>
        <w:ind w:firstLine="640"/>
      </w:pPr>
      <w:r>
        <w:rPr>
          <w:rFonts w:ascii="仿宋_GB2312" w:hAnsi="仿宋_GB2312" w:cs="仿宋_GB2312"/>
        </w:rPr>
        <w:t>不再保留中国银行保险监督管理委员会。</w:t>
      </w:r>
    </w:p>
    <w:p w14:paraId="1B755F5B" w14:textId="77777777" w:rsidR="004C310E" w:rsidRDefault="00000000">
      <w:pPr>
        <w:ind w:firstLine="640"/>
      </w:pPr>
      <w:r>
        <w:rPr>
          <w:rFonts w:ascii="仿宋_GB2312" w:hAnsi="仿宋_GB2312" w:cs="仿宋_GB2312"/>
        </w:rPr>
        <w:t>三、深化地方金融监管体制改革。建立以中央金融管理部门地方派出机构为主的地方金融监管体制，统筹优化中央金融管理部门地方派出机构设置和力量配备。地方政府设立的金融监管机</w:t>
      </w:r>
      <w:r>
        <w:rPr>
          <w:rFonts w:ascii="仿宋_GB2312" w:hAnsi="仿宋_GB2312" w:cs="仿宋_GB2312"/>
        </w:rPr>
        <w:lastRenderedPageBreak/>
        <w:t>构专司监管职责，不再加挂金融工作局、金融办公室等牌子。</w:t>
      </w:r>
    </w:p>
    <w:p w14:paraId="00D7D6B1" w14:textId="77777777" w:rsidR="004C310E" w:rsidRDefault="00000000">
      <w:pPr>
        <w:ind w:firstLine="640"/>
        <w:rPr>
          <w:rFonts w:ascii="仿宋_GB2312" w:hAnsi="仿宋_GB2312" w:cs="仿宋_GB2312"/>
        </w:rPr>
      </w:pPr>
      <w:r>
        <w:rPr>
          <w:rFonts w:ascii="仿宋_GB2312" w:hAnsi="仿宋_GB2312" w:cs="仿宋_GB2312"/>
        </w:rPr>
        <w:t>四、中国证券监督管理委员会调整为国务院直属机构。中国证券监督管理委员会由国务院直属事业单位调整为国务院直属机构。强化资本市场监管职责，划入国家发展和改革委员会的企业债券发行审核职责，由中国证券监督管理委员会统一负责公司（企业）债券发行审核工作。</w:t>
      </w:r>
    </w:p>
    <w:p w14:paraId="7353F35A" w14:textId="77777777" w:rsidR="004C310E" w:rsidRDefault="00000000">
      <w:pPr>
        <w:ind w:firstLine="640"/>
      </w:pPr>
      <w:r>
        <w:rPr>
          <w:rFonts w:ascii="仿宋_GB2312" w:hAnsi="仿宋_GB2312" w:cs="仿宋_GB2312"/>
        </w:rPr>
        <w:t>五、统筹推进中国人民银行分支机构改革。撤销中国人民银行大区分行及分行营业管理部、总行直属营业管理部和省会城市中心支行，在</w:t>
      </w:r>
      <w:r>
        <w:t>31</w:t>
      </w:r>
      <w:r>
        <w:rPr>
          <w:rFonts w:ascii="仿宋_GB2312" w:hAnsi="仿宋_GB2312" w:cs="仿宋_GB2312"/>
        </w:rPr>
        <w:t>个省（自治区、直辖市）设立省级分行，在深圳、大连、宁波、青岛、厦门设立计划单列市分行。中国人民银行北京分行保留中国人民银行营业管理部牌子，中国人民银行上海分行与中国人民银行上海总部合署办公。</w:t>
      </w:r>
    </w:p>
    <w:p w14:paraId="76ABC698" w14:textId="77777777" w:rsidR="004C310E" w:rsidRDefault="00000000">
      <w:pPr>
        <w:ind w:firstLine="640"/>
      </w:pPr>
      <w:r>
        <w:rPr>
          <w:rFonts w:ascii="仿宋_GB2312" w:hAnsi="仿宋_GB2312" w:cs="仿宋_GB2312"/>
        </w:rPr>
        <w:t>不再保留中国人民银行县（市）支行，相关职能上收至中国人民银行地（市）中心支行。对边境或外贸结售汇业务量大的地区，可根据工作需要，采取中国人民银行地（市）中心支行派出机构方式履行相关管理服务职能。</w:t>
      </w:r>
    </w:p>
    <w:p w14:paraId="36EEA730" w14:textId="77777777" w:rsidR="004C310E" w:rsidRDefault="00000000">
      <w:pPr>
        <w:ind w:firstLine="640"/>
      </w:pPr>
      <w:r>
        <w:rPr>
          <w:rFonts w:ascii="仿宋_GB2312" w:hAnsi="仿宋_GB2312" w:cs="仿宋_GB2312"/>
        </w:rPr>
        <w:t>六、完善国有金融资本管理体制。按照国有金融资本出资人相关管理规定，将中央金融管理部门管理的市场经营类机构剥离，相关国有金融资产划入国有金融资本受托管理机构，由其根据国务院授权统一履行出资人职责。</w:t>
      </w:r>
    </w:p>
    <w:p w14:paraId="7C909A8D" w14:textId="77777777" w:rsidR="004C310E" w:rsidRDefault="00000000">
      <w:pPr>
        <w:ind w:firstLine="640"/>
        <w:rPr>
          <w:rFonts w:ascii="仿宋_GB2312" w:hAnsi="仿宋_GB2312" w:cs="仿宋_GB2312"/>
        </w:rPr>
      </w:pPr>
      <w:r>
        <w:rPr>
          <w:rFonts w:ascii="仿宋_GB2312" w:hAnsi="仿宋_GB2312" w:cs="仿宋_GB2312"/>
        </w:rPr>
        <w:t>七、加强金融管理部门工作人员统一规范管理。中国人民银行、国家金融监督管理总局、中国证券监督管理委员会、国家外</w:t>
      </w:r>
      <w:r>
        <w:rPr>
          <w:rFonts w:ascii="仿宋_GB2312" w:hAnsi="仿宋_GB2312" w:cs="仿宋_GB2312"/>
        </w:rPr>
        <w:lastRenderedPageBreak/>
        <w:t>汇管理局及其分支机构、派出机构均使用行政编制，工作人员纳入国家公务员统一规范管理，执行国家公务员工资待遇标准。</w:t>
      </w:r>
    </w:p>
    <w:p w14:paraId="52860351" w14:textId="77777777" w:rsidR="004C310E" w:rsidRDefault="00000000">
      <w:pPr>
        <w:ind w:firstLine="640"/>
      </w:pPr>
      <w:r>
        <w:rPr>
          <w:rFonts w:ascii="仿宋_GB2312" w:hAnsi="仿宋_GB2312" w:cs="仿宋_GB2312"/>
        </w:rPr>
        <w:t>八、组建国家数据局。负责协调推进数据基础制度建设，统筹数据资源整合共享和开发利用，统筹推进数字中国、数字经济、数字社会规划和建设等，由国家发展和改革委员会管理。</w:t>
      </w:r>
    </w:p>
    <w:p w14:paraId="7A3A0A12" w14:textId="77777777" w:rsidR="004C310E" w:rsidRDefault="00000000">
      <w:pPr>
        <w:ind w:firstLine="640"/>
      </w:pPr>
      <w:r>
        <w:rPr>
          <w:rFonts w:ascii="仿宋_GB2312" w:hAnsi="仿宋_GB2312" w:cs="仿宋_GB2312"/>
        </w:rPr>
        <w:t>将中央网络安全和信息化委员会办公室承担的研究拟订数字中国建设方案、协调推动公共服务和社会治理信息化、协调促进智慧城市建设、协调国家重要信息资源开发利用与共享、推动信息资源跨行业跨部门互联互通等职责，国家发展和改革委员会承担的统筹推进数字经济发展、组织实施国家大数据战略、推进数据要素基础制度建设、推进数字基础设施布局建设等职责划入国家数据局。</w:t>
      </w:r>
    </w:p>
    <w:p w14:paraId="1FA157F7" w14:textId="77777777" w:rsidR="004C310E" w:rsidRDefault="00000000">
      <w:pPr>
        <w:ind w:firstLine="640"/>
      </w:pPr>
      <w:r>
        <w:rPr>
          <w:rFonts w:ascii="仿宋_GB2312" w:hAnsi="仿宋_GB2312" w:cs="仿宋_GB2312"/>
        </w:rPr>
        <w:t>九、优化农业农村部职责。为</w:t>
      </w:r>
      <w:proofErr w:type="gramStart"/>
      <w:r>
        <w:rPr>
          <w:rFonts w:ascii="仿宋_GB2312" w:hAnsi="仿宋_GB2312" w:cs="仿宋_GB2312"/>
        </w:rPr>
        <w:t>统筹抓好</w:t>
      </w:r>
      <w:proofErr w:type="gramEnd"/>
      <w:r>
        <w:rPr>
          <w:rFonts w:ascii="仿宋_GB2312" w:hAnsi="仿宋_GB2312" w:cs="仿宋_GB2312"/>
        </w:rPr>
        <w:t>以乡村振兴为重心的“三农”各项工作，加快建设农业强国，将国家乡村</w:t>
      </w:r>
      <w:proofErr w:type="gramStart"/>
      <w:r>
        <w:rPr>
          <w:rFonts w:ascii="仿宋_GB2312" w:hAnsi="仿宋_GB2312" w:cs="仿宋_GB2312"/>
        </w:rPr>
        <w:t>振兴局</w:t>
      </w:r>
      <w:proofErr w:type="gramEnd"/>
      <w:r>
        <w:rPr>
          <w:rFonts w:ascii="仿宋_GB2312" w:hAnsi="仿宋_GB2312" w:cs="仿宋_GB2312"/>
        </w:rPr>
        <w:t>的牵头开展防止返贫监测和帮扶，组织拟订乡村振兴重点帮扶县和重点地区帮扶政策，组织开展东西部协作、对口支援、社会帮扶，研究提出中央财政衔接推进乡村振兴相关资金分配建议方案并指导、监督资金使用，推动乡村帮扶产业发展，推动农村社会事业和公共服务发展等职责划入农业农村部，在农业农村部加挂国家乡村</w:t>
      </w:r>
      <w:proofErr w:type="gramStart"/>
      <w:r>
        <w:rPr>
          <w:rFonts w:ascii="仿宋_GB2312" w:hAnsi="仿宋_GB2312" w:cs="仿宋_GB2312"/>
        </w:rPr>
        <w:t>振兴局牌子</w:t>
      </w:r>
      <w:proofErr w:type="gramEnd"/>
      <w:r>
        <w:rPr>
          <w:rFonts w:ascii="仿宋_GB2312" w:hAnsi="仿宋_GB2312" w:cs="仿宋_GB2312"/>
        </w:rPr>
        <w:t>。</w:t>
      </w:r>
    </w:p>
    <w:p w14:paraId="0BB8694A" w14:textId="77777777" w:rsidR="004C310E" w:rsidRDefault="00000000">
      <w:pPr>
        <w:ind w:firstLine="640"/>
      </w:pPr>
      <w:r>
        <w:rPr>
          <w:rFonts w:ascii="仿宋_GB2312" w:hAnsi="仿宋_GB2312" w:cs="仿宋_GB2312"/>
        </w:rPr>
        <w:t>全国脱贫攻坚目标任务完成后的过渡期内，有关帮扶政策、财政支持、项目安排保持总体稳定，资金项目相对独立运行管理。</w:t>
      </w:r>
    </w:p>
    <w:p w14:paraId="3CABE518" w14:textId="77777777" w:rsidR="004C310E" w:rsidRDefault="00000000">
      <w:pPr>
        <w:ind w:firstLine="640"/>
      </w:pPr>
      <w:r>
        <w:rPr>
          <w:rFonts w:ascii="仿宋_GB2312" w:hAnsi="仿宋_GB2312" w:cs="仿宋_GB2312"/>
        </w:rPr>
        <w:lastRenderedPageBreak/>
        <w:t>不再保留单设的国家乡村振兴局。</w:t>
      </w:r>
    </w:p>
    <w:p w14:paraId="29809FD0" w14:textId="77777777" w:rsidR="004C310E" w:rsidRDefault="00000000">
      <w:pPr>
        <w:ind w:firstLine="640"/>
        <w:rPr>
          <w:rFonts w:ascii="仿宋_GB2312" w:hAnsi="仿宋_GB2312" w:cs="仿宋_GB2312"/>
        </w:rPr>
      </w:pPr>
      <w:r>
        <w:rPr>
          <w:rFonts w:ascii="仿宋_GB2312" w:hAnsi="仿宋_GB2312" w:cs="仿宋_GB2312"/>
        </w:rPr>
        <w:t>十、完善老龄工作体制。实施积极应对人口老龄化国家战略，推动实现全体老年人享有基本养老服务，将国家卫生健康委员会的组织拟订并协调落实应对人口老龄化政策措施、承担全国老龄工作委员会的具体工作等职责划入民政部。全国老龄工作委员会办公室改设在民政部，强化其综合协调、督促指导、组织推进老龄事业发展职责。</w:t>
      </w:r>
    </w:p>
    <w:p w14:paraId="467FBD16" w14:textId="77777777" w:rsidR="004C310E" w:rsidRDefault="00000000">
      <w:pPr>
        <w:ind w:firstLine="640"/>
        <w:rPr>
          <w:rFonts w:ascii="仿宋_GB2312" w:hAnsi="仿宋_GB2312" w:cs="仿宋_GB2312"/>
        </w:rPr>
      </w:pPr>
      <w:r>
        <w:rPr>
          <w:rFonts w:ascii="仿宋_GB2312" w:hAnsi="仿宋_GB2312" w:cs="仿宋_GB2312"/>
        </w:rPr>
        <w:t>中国老龄协会改由民政部代管。</w:t>
      </w:r>
    </w:p>
    <w:p w14:paraId="2D85DC9F" w14:textId="77777777" w:rsidR="004C310E" w:rsidRDefault="00000000">
      <w:pPr>
        <w:ind w:firstLine="640"/>
        <w:rPr>
          <w:rFonts w:ascii="仿宋_GB2312" w:hAnsi="仿宋_GB2312" w:cs="仿宋_GB2312"/>
        </w:rPr>
      </w:pPr>
      <w:r>
        <w:rPr>
          <w:rFonts w:ascii="仿宋_GB2312" w:hAnsi="仿宋_GB2312" w:cs="仿宋_GB2312"/>
        </w:rPr>
        <w:t>十一、完善知识产权管理体制。加快推进知识产权强国建设，全面提升知识产权创造、运用、保护、管理和服务水平，将国家知识产权局由国家市场监督管理总局管理的国家局调整为国务院直属机构。商标、专利等领域执法职责继续由市场监管综合执法队伍承担，相关执法工作接受国家知识产权局专业指导。</w:t>
      </w:r>
    </w:p>
    <w:p w14:paraId="036D7B42" w14:textId="77777777" w:rsidR="004C310E" w:rsidRDefault="00000000">
      <w:pPr>
        <w:ind w:firstLine="640"/>
      </w:pPr>
      <w:r>
        <w:rPr>
          <w:rFonts w:ascii="仿宋_GB2312" w:hAnsi="仿宋_GB2312" w:cs="仿宋_GB2312"/>
        </w:rPr>
        <w:t>十二、国家信访局调整为国务院直属机构。贯彻落实新时代党的群众路线，加强和改进人民信访工作，更好维护人民根本利益，将国家信访局由国务院办公厅管理的国家局调整为国务院直属机构。</w:t>
      </w:r>
    </w:p>
    <w:p w14:paraId="1A1E4EFF" w14:textId="77777777" w:rsidR="004C310E" w:rsidRDefault="00000000">
      <w:pPr>
        <w:ind w:firstLine="640"/>
      </w:pPr>
      <w:r>
        <w:rPr>
          <w:rFonts w:ascii="仿宋_GB2312" w:hAnsi="仿宋_GB2312" w:cs="仿宋_GB2312"/>
        </w:rPr>
        <w:t>十三、</w:t>
      </w:r>
      <w:proofErr w:type="gramStart"/>
      <w:r>
        <w:rPr>
          <w:rFonts w:ascii="仿宋_GB2312" w:hAnsi="仿宋_GB2312" w:cs="仿宋_GB2312"/>
        </w:rPr>
        <w:t>精减</w:t>
      </w:r>
      <w:proofErr w:type="gramEnd"/>
      <w:r>
        <w:rPr>
          <w:rFonts w:ascii="仿宋_GB2312" w:hAnsi="仿宋_GB2312" w:cs="仿宋_GB2312"/>
        </w:rPr>
        <w:t>中央国家机关人员编制。中央国家机关各部门人员编制统一按照</w:t>
      </w:r>
      <w:r>
        <w:t>5</w:t>
      </w:r>
      <w:r>
        <w:rPr>
          <w:rFonts w:ascii="仿宋_GB2312" w:hAnsi="仿宋_GB2312" w:cs="仿宋_GB2312"/>
        </w:rPr>
        <w:t>%的比例进行</w:t>
      </w:r>
      <w:proofErr w:type="gramStart"/>
      <w:r>
        <w:rPr>
          <w:rFonts w:ascii="仿宋_GB2312" w:hAnsi="仿宋_GB2312" w:cs="仿宋_GB2312"/>
        </w:rPr>
        <w:t>精减</w:t>
      </w:r>
      <w:proofErr w:type="gramEnd"/>
      <w:r>
        <w:rPr>
          <w:rFonts w:ascii="仿宋_GB2312" w:hAnsi="仿宋_GB2312" w:cs="仿宋_GB2312"/>
        </w:rPr>
        <w:t>，收回的编制主要用于加强重点领域和重要工作。</w:t>
      </w:r>
    </w:p>
    <w:p w14:paraId="17C95312" w14:textId="77777777" w:rsidR="004C310E" w:rsidRDefault="00000000">
      <w:pPr>
        <w:ind w:firstLine="640"/>
      </w:pPr>
      <w:r>
        <w:rPr>
          <w:rFonts w:ascii="仿宋_GB2312" w:hAnsi="仿宋_GB2312" w:cs="仿宋_GB2312"/>
        </w:rPr>
        <w:t>改革后，除国务院办公厅外，国务院设置组成部门仍为</w:t>
      </w:r>
      <w:r>
        <w:t>26</w:t>
      </w:r>
      <w:r>
        <w:rPr>
          <w:rFonts w:ascii="仿宋_GB2312" w:hAnsi="仿宋_GB2312" w:cs="仿宋_GB2312"/>
        </w:rPr>
        <w:t>个。根据国务院组织法规定，科学技术部、农业农村部等国务院</w:t>
      </w:r>
      <w:r>
        <w:rPr>
          <w:rFonts w:ascii="仿宋_GB2312" w:hAnsi="仿宋_GB2312" w:cs="仿宋_GB2312"/>
        </w:rPr>
        <w:lastRenderedPageBreak/>
        <w:t>组成部门的调整和设置，由全国人民代表大会审议批准。</w:t>
      </w:r>
    </w:p>
    <w:p w14:paraId="2184A97D" w14:textId="77777777" w:rsidR="004C310E" w:rsidRDefault="00000000">
      <w:pPr>
        <w:ind w:firstLine="640"/>
      </w:pPr>
      <w:r>
        <w:rPr>
          <w:rFonts w:ascii="仿宋_GB2312" w:hAnsi="仿宋_GB2312" w:cs="仿宋_GB2312"/>
        </w:rPr>
        <w:t>国家市场监督管理总局、国家金融监督管理总局、中国证券监督管理委员会、国家信访局、国家知识产权局、国家数据局、国家乡村</w:t>
      </w:r>
      <w:proofErr w:type="gramStart"/>
      <w:r>
        <w:rPr>
          <w:rFonts w:ascii="仿宋_GB2312" w:hAnsi="仿宋_GB2312" w:cs="仿宋_GB2312"/>
        </w:rPr>
        <w:t>振兴局</w:t>
      </w:r>
      <w:proofErr w:type="gramEnd"/>
      <w:r>
        <w:rPr>
          <w:rFonts w:ascii="仿宋_GB2312" w:hAnsi="仿宋_GB2312" w:cs="仿宋_GB2312"/>
        </w:rPr>
        <w:t>等国务院组成部门以外的国务院所属机构的调整和设置，将由新组成的国务院审查批准。</w:t>
      </w:r>
    </w:p>
    <w:sectPr w:rsidR="004C310E">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60C44" w14:textId="77777777" w:rsidR="00090838" w:rsidRDefault="00090838">
      <w:r>
        <w:separator/>
      </w:r>
    </w:p>
  </w:endnote>
  <w:endnote w:type="continuationSeparator" w:id="0">
    <w:p w14:paraId="00D8CE0A" w14:textId="77777777" w:rsidR="00090838" w:rsidRDefault="00090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00"/>
    <w:family w:val="auto"/>
    <w:pitch w:val="default"/>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auto"/>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4C916" w14:textId="77777777" w:rsidR="004C310E"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6A415" w14:textId="77777777" w:rsidR="004C310E"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B90E1" w14:textId="77777777" w:rsidR="00090838" w:rsidRDefault="00090838">
      <w:r>
        <w:separator/>
      </w:r>
    </w:p>
  </w:footnote>
  <w:footnote w:type="continuationSeparator" w:id="0">
    <w:p w14:paraId="32FD887B" w14:textId="77777777" w:rsidR="00090838" w:rsidRDefault="000908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M2OTQyYTIyYjhjZTViYzc4OGI0YTkwNmU2YjgxYmQifQ=="/>
  </w:docVars>
  <w:rsids>
    <w:rsidRoot w:val="000E703F"/>
    <w:rsid w:val="00005CBA"/>
    <w:rsid w:val="00067A46"/>
    <w:rsid w:val="00090838"/>
    <w:rsid w:val="000B3473"/>
    <w:rsid w:val="000D062B"/>
    <w:rsid w:val="000E21D3"/>
    <w:rsid w:val="000E703F"/>
    <w:rsid w:val="000F0A3D"/>
    <w:rsid w:val="000F7DA8"/>
    <w:rsid w:val="00131BA9"/>
    <w:rsid w:val="0013352A"/>
    <w:rsid w:val="0016100C"/>
    <w:rsid w:val="00166DBD"/>
    <w:rsid w:val="00194C5F"/>
    <w:rsid w:val="001D56C5"/>
    <w:rsid w:val="001E2980"/>
    <w:rsid w:val="00204E35"/>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C310E"/>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70903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DDDB3"/>
  <w15:docId w15:val="{1C8F98EB-359F-4BF7-A0B4-C2DAA309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unhideWhenUsed/>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4">
    <w:name w:val="页脚 字符"/>
    <w:link w:val="a3"/>
    <w:uiPriority w:val="99"/>
    <w:rPr>
      <w:sz w:val="18"/>
      <w:szCs w:val="18"/>
    </w:rPr>
  </w:style>
  <w:style w:type="character" w:customStyle="1" w:styleId="a6">
    <w:name w:val="页眉 字符"/>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f1Tz J</cp:lastModifiedBy>
  <cp:revision>15</cp:revision>
  <dcterms:created xsi:type="dcterms:W3CDTF">2017-11-15T02:33:00Z</dcterms:created>
  <dcterms:modified xsi:type="dcterms:W3CDTF">2024-08-19T12:10:00Z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2052-11.1.0.12980</vt:lpwstr>
  </property>
</Properties>
</file>