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Dougherty and Steiger Win Defense Verdict in Under 24 Hours in Legal Malpractice Trial</w:t>
      </w:r>
    </w:p>
    <w:p w:rsidR="00000000" w:rsidDel="00000000" w:rsidP="00000000" w:rsidRDefault="00000000" w:rsidRPr="00000000" w14:paraId="00000002">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Wynne Lejeune</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10, 2024</w:t>
      </w:r>
    </w:p>
    <w:p w:rsidR="00000000" w:rsidDel="00000000" w:rsidP="00000000" w:rsidRDefault="00000000" w:rsidRPr="00000000" w14:paraId="00000006">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recent legal malpractice case stemming from a failed real-estate dispute, Swartz Campbell partners Candidus Dougherty and Caryn Steiger secured a resounding win in record time. What began as a complex trial with claims of attorney error during a prior breach of contract lawsuit, quickly unraveled under strategic litigation </w:t>
      </w:r>
      <w:r w:rsidDel="00000000" w:rsidR="00000000" w:rsidRPr="00000000">
        <w:rPr>
          <w:rFonts w:ascii="Times New Roman" w:cs="Times New Roman" w:eastAsia="Times New Roman" w:hAnsi="Times New Roman"/>
          <w:sz w:val="24"/>
          <w:szCs w:val="24"/>
          <w:rtl w:val="0"/>
        </w:rPr>
        <w:t xml:space="preserve">by the defense</w:t>
      </w:r>
      <w:r w:rsidDel="00000000" w:rsidR="00000000" w:rsidRPr="00000000">
        <w:rPr>
          <w:rFonts w:ascii="Times New Roman" w:cs="Times New Roman" w:eastAsia="Times New Roman" w:hAnsi="Times New Roman"/>
          <w:sz w:val="24"/>
          <w:szCs w:val="24"/>
          <w:rtl w:val="0"/>
        </w:rPr>
        <w:t xml:space="preserve">. The court’s swift dismissal highlighted the effectiveness of the defense strategy and brought the matter to a decisive close in under 24 hours.</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Case Within a Case: Real Estate Firm Sues Former Counsel After Losing Breach of Contract Case</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lawsuit concerned an underlying case in which individuals sued a real estate management company for breach of contract related to a house they had purchased from it. When a jury ruled in favor of the plaintiffs, the company sued its counsel for legal malpractice, claiming mistakes were made during the trial–i.e., not obtaining an engineering expert, not making certain objections, not calling certain witnesses, not following certain motions. The damages demanded reached over $1 million, substantially exceeding the insurance coverage. </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presented a unique procedural posture, as the plaintiff in the legal malpractice action—who had been the defendant in the underlying matter—bore the burden of proving the “case within the case.” This required showing that, had certain objections been raised, witnesses called, or other actions taken, the outcome of the original case would have been different.</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Defense Prevails </w:t>
      </w:r>
      <w:r w:rsidDel="00000000" w:rsidR="00000000" w:rsidRPr="00000000">
        <w:rPr>
          <w:rFonts w:ascii="Times New Roman" w:cs="Times New Roman" w:eastAsia="Times New Roman" w:hAnsi="Times New Roman"/>
          <w:b w:val="1"/>
          <w:sz w:val="24"/>
          <w:szCs w:val="24"/>
          <w:rtl w:val="0"/>
        </w:rPr>
        <w:t xml:space="preserve">Early</w:t>
      </w:r>
      <w:r w:rsidDel="00000000" w:rsidR="00000000" w:rsidRPr="00000000">
        <w:rPr>
          <w:rFonts w:ascii="Times New Roman" w:cs="Times New Roman" w:eastAsia="Times New Roman" w:hAnsi="Times New Roman"/>
          <w:b w:val="1"/>
          <w:sz w:val="24"/>
          <w:szCs w:val="24"/>
          <w:rtl w:val="0"/>
        </w:rPr>
        <w:t xml:space="preserve">: Dougherty and Steiger Narrow Claims with Successful Pretrial Motions</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with the department’s typical approach, Dougherty and Steiger effectively and systematically dismantled the case. </w:t>
      </w:r>
      <w:r w:rsidDel="00000000" w:rsidR="00000000" w:rsidRPr="00000000">
        <w:rPr>
          <w:rFonts w:ascii="Times New Roman" w:cs="Times New Roman" w:eastAsia="Times New Roman" w:hAnsi="Times New Roman"/>
          <w:sz w:val="24"/>
          <w:szCs w:val="24"/>
          <w:rtl w:val="0"/>
        </w:rPr>
        <w:t xml:space="preserve">Preliminary objections </w:t>
      </w:r>
      <w:r w:rsidDel="00000000" w:rsidR="00000000" w:rsidRPr="00000000">
        <w:rPr>
          <w:rFonts w:ascii="Times New Roman" w:cs="Times New Roman" w:eastAsia="Times New Roman" w:hAnsi="Times New Roman"/>
          <w:sz w:val="24"/>
          <w:szCs w:val="24"/>
          <w:rtl w:val="0"/>
        </w:rPr>
        <w:t xml:space="preserve">were sustained in part, resulting in the dismissal of an individual plaintiff, an individual defendant, the contract claims, and the requests for attorneys’ fees and costs. However, summary judgement and mediation failed, and the case was subsequently set for a two-week jury trial. </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parties appeared for jury selection, the plaintiff waived his right to a jury, to which </w:t>
      </w:r>
      <w:r w:rsidDel="00000000" w:rsidR="00000000" w:rsidRPr="00000000">
        <w:rPr>
          <w:rFonts w:ascii="Times New Roman" w:cs="Times New Roman" w:eastAsia="Times New Roman" w:hAnsi="Times New Roman"/>
          <w:sz w:val="24"/>
          <w:szCs w:val="24"/>
          <w:rtl w:val="0"/>
        </w:rPr>
        <w:t xml:space="preserve">the defense</w:t>
      </w:r>
      <w:r w:rsidDel="00000000" w:rsidR="00000000" w:rsidRPr="00000000">
        <w:rPr>
          <w:rFonts w:ascii="Times New Roman" w:cs="Times New Roman" w:eastAsia="Times New Roman" w:hAnsi="Times New Roman"/>
          <w:sz w:val="24"/>
          <w:szCs w:val="24"/>
          <w:rtl w:val="0"/>
        </w:rPr>
        <w:t xml:space="preserve"> agreed. The matter was heard by the Honorable Sean Kennedy, who granted multiple defense motions </w:t>
      </w:r>
      <w:r w:rsidDel="00000000" w:rsidR="00000000" w:rsidRPr="00000000">
        <w:rPr>
          <w:rFonts w:ascii="Times New Roman" w:cs="Times New Roman" w:eastAsia="Times New Roman" w:hAnsi="Times New Roman"/>
          <w:i w:val="1"/>
          <w:sz w:val="24"/>
          <w:szCs w:val="24"/>
          <w:rtl w:val="0"/>
        </w:rPr>
        <w:t xml:space="preserve">in limine, </w:t>
      </w:r>
      <w:r w:rsidDel="00000000" w:rsidR="00000000" w:rsidRPr="00000000">
        <w:rPr>
          <w:rFonts w:ascii="Times New Roman" w:cs="Times New Roman" w:eastAsia="Times New Roman" w:hAnsi="Times New Roman"/>
          <w:sz w:val="24"/>
          <w:szCs w:val="24"/>
          <w:rtl w:val="0"/>
        </w:rPr>
        <w:t xml:space="preserve">including reverse bifurcation–removing most of the claims by the plaintiff–and granting an oral defense motion to preclude the plaintiff’s “case within a case” expert. </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Judge Grants Nonsuit in Record Time After Strategic Defense Argument</w:t>
      </w:r>
    </w:p>
    <w:p w:rsidR="00000000" w:rsidDel="00000000" w:rsidP="00000000" w:rsidRDefault="00000000" w:rsidRPr="00000000" w14:paraId="0000001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plaintiffs rested their case, Judge Kennedy announced the court would take a recess to review the case cited by the defense. In an unexpected flurry of events, the trial court reconvened, granted a nonsuit, entered judgment in favor of the defendants, and exited the bench so quickly that no one noticed the court reporter had not yet returned from break. When the reporter came back and saw everyone packing up, the court had to return and restate the ruling on the </w:t>
      </w:r>
      <w:r w:rsidDel="00000000" w:rsidR="00000000" w:rsidRPr="00000000">
        <w:rPr>
          <w:rFonts w:ascii="Times New Roman" w:cs="Times New Roman" w:eastAsia="Times New Roman" w:hAnsi="Times New Roman"/>
          <w:sz w:val="24"/>
          <w:szCs w:val="24"/>
          <w:rtl w:val="0"/>
        </w:rPr>
        <w:t xml:space="preserve">record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trial began at 1:30 pm on May 6, 2024, and ended in non-suit for the defense by 11:00 am on May 7, 2024. Through strategic pre-trial motions, thorough courtroom advocacy, and a strong command of the legal issues, Dougherty and Steiger dismantled the plaintiff’s case before it could even reach the liability phase.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Their swift and decisive victory underscores the strength of the defense strategy and the power of tactical litigation in achieving early, favorable outcomes for the defense.</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For more information on Swartz Campbell’s Professional Liability Practice, or to speak with one of our attorneys, contact us </w:t>
      </w:r>
      <w:r w:rsidDel="00000000" w:rsidR="00000000" w:rsidRPr="00000000">
        <w:rPr>
          <w:rFonts w:ascii="Times New Roman" w:cs="Times New Roman" w:eastAsia="Times New Roman" w:hAnsi="Times New Roman"/>
          <w:i w:val="1"/>
          <w:sz w:val="24"/>
          <w:szCs w:val="24"/>
          <w:u w:val="single"/>
          <w:rtl w:val="0"/>
        </w:rPr>
        <w:t xml:space="preserve">here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CommentReference">
    <w:name w:val="annotation reference"/>
    <w:basedOn w:val="DefaultParagraphFont"/>
    <w:uiPriority w:val="99"/>
    <w:semiHidden w:val="1"/>
    <w:unhideWhenUsed w:val="1"/>
    <w:rsid w:val="003817E9"/>
    <w:rPr>
      <w:sz w:val="16"/>
      <w:szCs w:val="16"/>
    </w:rPr>
  </w:style>
  <w:style w:type="paragraph" w:styleId="CommentText">
    <w:name w:val="annotation text"/>
    <w:basedOn w:val="Normal"/>
    <w:link w:val="CommentTextChar"/>
    <w:uiPriority w:val="99"/>
    <w:semiHidden w:val="1"/>
    <w:unhideWhenUsed w:val="1"/>
    <w:rsid w:val="003817E9"/>
    <w:pPr>
      <w:spacing w:line="240" w:lineRule="auto"/>
    </w:pPr>
    <w:rPr>
      <w:sz w:val="20"/>
      <w:szCs w:val="20"/>
    </w:rPr>
  </w:style>
  <w:style w:type="character" w:styleId="CommentTextChar" w:customStyle="1">
    <w:name w:val="Comment Text Char"/>
    <w:basedOn w:val="DefaultParagraphFont"/>
    <w:link w:val="CommentText"/>
    <w:uiPriority w:val="99"/>
    <w:semiHidden w:val="1"/>
    <w:rsid w:val="003817E9"/>
    <w:rPr>
      <w:sz w:val="20"/>
      <w:szCs w:val="20"/>
    </w:rPr>
  </w:style>
  <w:style w:type="paragraph" w:styleId="CommentSubject">
    <w:name w:val="annotation subject"/>
    <w:basedOn w:val="CommentText"/>
    <w:next w:val="CommentText"/>
    <w:link w:val="CommentSubjectChar"/>
    <w:uiPriority w:val="99"/>
    <w:semiHidden w:val="1"/>
    <w:unhideWhenUsed w:val="1"/>
    <w:rsid w:val="003817E9"/>
    <w:rPr>
      <w:b w:val="1"/>
      <w:bCs w:val="1"/>
    </w:rPr>
  </w:style>
  <w:style w:type="character" w:styleId="CommentSubjectChar" w:customStyle="1">
    <w:name w:val="Comment Subject Char"/>
    <w:basedOn w:val="CommentTextChar"/>
    <w:link w:val="CommentSubject"/>
    <w:uiPriority w:val="99"/>
    <w:semiHidden w:val="1"/>
    <w:rsid w:val="003817E9"/>
    <w:rPr>
      <w:b w:val="1"/>
      <w:bCs w:val="1"/>
      <w:sz w:val="20"/>
      <w:szCs w:val="20"/>
    </w:rPr>
  </w:style>
  <w:style w:type="paragraph" w:styleId="Revision">
    <w:name w:val="Revision"/>
    <w:hidden w:val="1"/>
    <w:uiPriority w:val="99"/>
    <w:semiHidden w:val="1"/>
    <w:rsid w:val="003817E9"/>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bWSiWH5QBkYfY+ICNediEbQVlQ==">CgMxLjA4AHIhMTFxYkRBWHZSNE9TYUVMWlFuOGxCZTkyeDdXRTlieTlh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2025-09-24T23:09:00Z</dcterms:created>
</cp:coreProperties>
</file>