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Swartz Campbell Secures Final Dismissal in Seven-Year-Long Legal Malpractice Battle</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Wynne Lejeune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10, 2025</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November of last year, Swartz Campell </w:t>
      </w:r>
      <w:r w:rsidDel="00000000" w:rsidR="00000000" w:rsidRPr="00000000">
        <w:rPr>
          <w:rFonts w:ascii="Times New Roman" w:cs="Times New Roman" w:eastAsia="Times New Roman" w:hAnsi="Times New Roman"/>
          <w:sz w:val="24"/>
          <w:szCs w:val="24"/>
          <w:u w:val="single"/>
          <w:rtl w:val="0"/>
        </w:rPr>
        <w:t xml:space="preserve">achieved a victory</w:t>
      </w:r>
      <w:r w:rsidDel="00000000" w:rsidR="00000000" w:rsidRPr="00000000">
        <w:rPr>
          <w:rFonts w:ascii="Times New Roman" w:cs="Times New Roman" w:eastAsia="Times New Roman" w:hAnsi="Times New Roman"/>
          <w:sz w:val="24"/>
          <w:szCs w:val="24"/>
          <w:rtl w:val="0"/>
        </w:rPr>
        <w:t xml:space="preserve"> for a law firm accused of legal malpractice, breach of contract, and breach of fiduciary duty. The firm had represented a property owner suing a tenant over a Right of First Refusal in a commercial lease agreement. When the court eventually ruled against the owner, he brought a complaint against his legal counsel for malpractice years later. Candidus Dougherty and Caryn Steiger of Swartz Campbell represented the firm in its defense and secured a motion for summary judgement based on the expiration of the statute of limitations. </w: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Failure to File Concise Statement Leads to Dismissal of Plaintiff’s Appeal</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the plaintiff filed a notice of appeal to challenge the court’s decision. On December 9, 2024, the trial court issued an order directing the plaintiff to file a concise statement of matters complained of on appeal within 21 days. The plaintiff failed to comply with this directive, and without the necessary statement, the appellate court was left unable to determine the issues being raised on appeal.</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plaintiff’s failure to comply with Pennsylvania’s Rule of Appellate Procedure 1925(b), the court relied on its earlier opinion from November 13, 2024, which already addressed the issues related to the timeliness of the claim.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Swartz Campbell Secures Final Win as Court Denies Appeal</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March of this year, the defendant’s Application to Dismiss Appeal was granted, further affirming the procedural deficiencies in the plaintiff’s appeal. On September 9, the court denied the plaintiff’s Petition for Allowance of Appeal, officially bringing the matter to a close after more than seven years of litigation. With this new development, Swartz Campbell secured a final, </w:t>
      </w:r>
      <w:r w:rsidDel="00000000" w:rsidR="00000000" w:rsidRPr="00000000">
        <w:rPr>
          <w:rFonts w:ascii="Times New Roman" w:cs="Times New Roman" w:eastAsia="Times New Roman" w:hAnsi="Times New Roman"/>
          <w:sz w:val="24"/>
          <w:szCs w:val="24"/>
          <w:rtl w:val="0"/>
        </w:rPr>
        <w:t xml:space="preserve">decisive </w:t>
      </w:r>
      <w:r w:rsidDel="00000000" w:rsidR="00000000" w:rsidRPr="00000000">
        <w:rPr>
          <w:rFonts w:ascii="Times New Roman" w:cs="Times New Roman" w:eastAsia="Times New Roman" w:hAnsi="Times New Roman"/>
          <w:sz w:val="24"/>
          <w:szCs w:val="24"/>
          <w:rtl w:val="0"/>
        </w:rPr>
        <w:t xml:space="preserve">win in this complex legal saga, bringing an end to a long-running dispute centered on legal representation and the timely pursuit of claims.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 more information on Swartz Campbell’s Professional Liability Practice, or to speak with one of our attorneys, contact us </w:t>
      </w:r>
      <w:r w:rsidDel="00000000" w:rsidR="00000000" w:rsidRPr="00000000">
        <w:rPr>
          <w:rFonts w:ascii="Times New Roman" w:cs="Times New Roman" w:eastAsia="Times New Roman" w:hAnsi="Times New Roman"/>
          <w:i w:val="1"/>
          <w:sz w:val="24"/>
          <w:szCs w:val="24"/>
          <w:u w:val="single"/>
          <w:rtl w:val="0"/>
        </w:rPr>
        <w:t xml:space="preserve">here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