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Swartz Campbell Team Prevails in Contentious Posthumous Malpractice Litigation</w:t>
      </w:r>
    </w:p>
    <w:p w:rsidR="00000000" w:rsidDel="00000000" w:rsidP="00000000" w:rsidRDefault="00000000" w:rsidRPr="00000000" w14:paraId="00000002">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Wynne Lejeune</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12, 2024</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Friday, Jeffrey McCarron, Candidus Dougherty, and Nancy Goldstein, partners at Swartz Campbell, concluded a dramatic legal malpractice suit in voluntary discontinuance. The case stemmed from allegations of professional negligence regarding a commercial real estate sale, as well as claims asserting a sexual relations between the plaintiff and the defendant attorney who had represented her in the matter. The suggested demand was millions of dollars. </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sustained preliminary objections and struck sexual relations as a basis for the claims in July 2020. After the defendant’s death, the plaintiff began harassing his family and the counsel representing his estate, prompting the Court to enter a protective order against her. She violated it multiple times, and on the eve of her contempt proceeding for violating the order, she dismissed the action. In 2022, the underlying litigation was resolved with a Mutual Release and Resolution Agreement, which included a “No Harassment” provision. Accordingly, the plaintiff’s attorney forwarded the executed agreement, along with her notarized signature, and a </w:t>
      </w:r>
      <w:r w:rsidDel="00000000" w:rsidR="00000000" w:rsidRPr="00000000">
        <w:rPr>
          <w:rFonts w:ascii="Times New Roman" w:cs="Times New Roman" w:eastAsia="Times New Roman" w:hAnsi="Times New Roman"/>
          <w:i w:val="1"/>
          <w:sz w:val="24"/>
          <w:szCs w:val="24"/>
          <w:rtl w:val="0"/>
        </w:rPr>
        <w:t xml:space="preserve">praecipe </w:t>
      </w:r>
      <w:r w:rsidDel="00000000" w:rsidR="00000000" w:rsidRPr="00000000">
        <w:rPr>
          <w:rFonts w:ascii="Times New Roman" w:cs="Times New Roman" w:eastAsia="Times New Roman" w:hAnsi="Times New Roman"/>
          <w:sz w:val="24"/>
          <w:szCs w:val="24"/>
          <w:rtl w:val="0"/>
        </w:rPr>
        <w:t xml:space="preserve">to discontinue the action. </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week, when the defendant’s counsel sent a proposed consent order to seal the plaintiff’s statement, they were made aware that the plaintiff had fired her attorney and now represented herself. When the defendants’ counsel filed a motion to enforce the agreement and seal the record, the plaintiff filed additional documents alleging the defendant had raped her. In May 2023, the Court held a hearing to review the defendant’s motions and the plaintiff’s documents, and in July, the Court granted the defendant’s motion to enforce the original agreement and seal the record. In response, plaintiff issued an appeal, claiming she never agreed to the dismissal, and proceeded pro se in her appeal. </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McCarron, Dougherty, and Goldstein argued that the plaintiff had waived all issues on appeal based on her failure to request the transcript of the May 2023 hearing. The Court ultimately agreed with the defense team and dismissed the appeal, bringing a prolonged, emotionally charged matter to its conclusion and bringing closure and justice to a grieving family. </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For more information on Swartz Campbell’s Professional Liability Practice, or to speak with one of our attorneys, contact us </w:t>
      </w:r>
      <w:r w:rsidDel="00000000" w:rsidR="00000000" w:rsidRPr="00000000">
        <w:rPr>
          <w:rFonts w:ascii="Times New Roman" w:cs="Times New Roman" w:eastAsia="Times New Roman" w:hAnsi="Times New Roman"/>
          <w:i w:val="1"/>
          <w:sz w:val="24"/>
          <w:szCs w:val="24"/>
          <w:u w:val="single"/>
          <w:rtl w:val="0"/>
        </w:rPr>
        <w:t xml:space="preserve">here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