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Dougherty and McCarron Successfully Defend Attorney in Civil Suit Over Suboxone Whistleblower Case</w:t>
      </w:r>
    </w:p>
    <w:p w:rsidR="00000000" w:rsidDel="00000000" w:rsidP="00000000" w:rsidRDefault="00000000" w:rsidRPr="00000000" w14:paraId="00000002">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Wynne Lejeune</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1, 2024</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Swartz Campbell partners Candidus Dougherty and Jeffery McCarron achieved a significant victory by securing a dismissal in a protracted civil lawsuit involving a plaintiff who claimed she was promised compensation for helping initiate a </w:t>
      </w:r>
      <w:r w:rsidDel="00000000" w:rsidR="00000000" w:rsidRPr="00000000">
        <w:rPr>
          <w:rFonts w:ascii="Times New Roman" w:cs="Times New Roman" w:eastAsia="Times New Roman" w:hAnsi="Times New Roman"/>
          <w:sz w:val="24"/>
          <w:szCs w:val="24"/>
          <w:rtl w:val="0"/>
        </w:rPr>
        <w:t xml:space="preserve">qui tam</w:t>
      </w:r>
      <w:r w:rsidDel="00000000" w:rsidR="00000000" w:rsidRPr="00000000">
        <w:rPr>
          <w:rFonts w:ascii="Times New Roman" w:cs="Times New Roman" w:eastAsia="Times New Roman" w:hAnsi="Times New Roman"/>
          <w:sz w:val="24"/>
          <w:szCs w:val="24"/>
          <w:rtl w:val="0"/>
        </w:rPr>
        <w:t xml:space="preserve"> action but was never paid. </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Whistleblower Claims She Was Misled Into $700M Suboxone Lawsuit—and Left Empty-Handed</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case involved a qui tam action claiming a pharmaceutical company improperly marketed Suboxone. An attorney for the suing party approached the plaintiff, a then-employee of the pharmaceutical company who complained of harassment at work and shared concerns about the company’s off-label marketing of Suboxone. The attorney advised her that a whistleblower claim would be “far more lucrative” than an employment claim, and when she was fired from the company, she took his advice. She was unaware that she was fifth to file, claiming the attorney had led her to believe she was second after his other client, the first-in-time relator. </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2019, the pharmaceutical company settled several qui tam actions, including the plaintiff’s, for approximately $700 million. The plaintiff claimed she received a fraction of the sum the first-in-time </w:t>
      </w:r>
      <w:r w:rsidDel="00000000" w:rsidR="00000000" w:rsidRPr="00000000">
        <w:rPr>
          <w:rFonts w:ascii="Times New Roman" w:cs="Times New Roman" w:eastAsia="Times New Roman" w:hAnsi="Times New Roman"/>
          <w:sz w:val="24"/>
          <w:szCs w:val="24"/>
          <w:rtl w:val="0"/>
        </w:rPr>
        <w:t xml:space="preserve">relator</w:t>
      </w:r>
      <w:r w:rsidDel="00000000" w:rsidR="00000000" w:rsidRPr="00000000">
        <w:rPr>
          <w:rFonts w:ascii="Times New Roman" w:cs="Times New Roman" w:eastAsia="Times New Roman" w:hAnsi="Times New Roman"/>
          <w:sz w:val="24"/>
          <w:szCs w:val="24"/>
          <w:rtl w:val="0"/>
        </w:rPr>
        <w:t xml:space="preserve"> received–which she believed to be around $40 million–and was stigmatised and unemployable after the unsealing of her case in 2018. As a result, she filed claims including fraud, breach of contract, negligent misrepresentation, and legal malpractice against the attorney that had advised and represented the first-in-time relator. </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Defense Team Wins Dismissal With Prejudice in Qui Tam Compensation Dispute</w:t>
      </w:r>
    </w:p>
    <w:p w:rsidR="00000000" w:rsidDel="00000000" w:rsidP="00000000" w:rsidRDefault="00000000" w:rsidRPr="00000000" w14:paraId="00000010">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defense, represented by Dougherty and McCarron, successfully moved to dismiss the case three times. First, they argued that the relator had failed to plead the allegations of misrepresentation, omissions, fiduciary duty, and unwritten contract with sufficient specificity. The Court agreed, dismissing the first complaint. When the plaintiff filed a second amended complaint, Dougherty and McCarron argued that she failed to allege “any causal link” between the attorney’s actions and her injuries or produce any binding contract between her and the attorney. After dismissing the complaint again, the Court granted her one final leave to amend. However, when she was unsuccessful in resolving any of the previous deficiencies, the defense filed a third motion to dismiss which was granted with prejudice. </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plaintiff appealed the decision, alleging the District Court had used too strict a standard and misapplied the legal elements of her claims, the Third Circuit Court of Appeals affirmed the dismissal. The plaintiff then requested a rehearing, which was also denied. The outcome marked a complete defense victory for Dougherty and McCarron, who successfully defeated all claims at the pleading stage and preserved the dismissal through appeal. </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For more information on Swartz Campbell’s Professional Liability Practice, or to speak with one of our attorneys, contact us </w:t>
      </w:r>
      <w:r w:rsidDel="00000000" w:rsidR="00000000" w:rsidRPr="00000000">
        <w:rPr>
          <w:rFonts w:ascii="Times New Roman" w:cs="Times New Roman" w:eastAsia="Times New Roman" w:hAnsi="Times New Roman"/>
          <w:i w:val="1"/>
          <w:sz w:val="24"/>
          <w:szCs w:val="24"/>
          <w:u w:val="single"/>
          <w:rtl w:val="0"/>
        </w:rPr>
        <w:t xml:space="preserve">here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