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8"/>
          <w:szCs w:val="28"/>
          <w:rtl w:val="0"/>
        </w:rPr>
        <w:t xml:space="preserve">McCarron and Goldstein Prevail in Dragonetti Act Case Following Employment Discrimination Lawsuit</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Wynne Lejeune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28, 2024</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recent professional liability matter, Swartz Campbell partners Jeffrey McCarron and Nancy Goldstein successfully defended a wrongful use of civil proceedings claim brought under Pennsylvania’s Dragonetti Act. The claim stemmed from a prior employment discrimination lawsuit which ultimately resulted in a jury verdict for the employer. However, the dispute developed into a multi-year legal battle involving complex procedural motions, appellate review, and a rare two-day arbitration–finally culminating in a critical win for the defense.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Worker’s Discrimination Lawsuit Ends After Jury Rejects Disability Claim</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matter arose when a worker filed charges against his employer after being terminated for reasons he claims were discriminatory based on his age and disability. In June of 2018, the Equal Employment Opportunity Commission (EEOC) dismissed the case, determining that it was unable to conclude any statues were violated. In September of that year, the worker filed a federal lawsuit, again alleging age and disability discrimination, as well as a second charge with the EEOC, which was again dismissed. The federal court also dismissed the age claim, and the remaining disability claim proceeded to a jury trial. When the jury ruled in favor of the employer, the worker did not file an appeal.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 Brings Dragonetti Action Against Worker for Filing “Nuisance Suit”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2020, the employer began an instant litigation pursuant to the Dragonetti Act, alleging wrongful use of civil proceedings, and in 2021, filed a third amended complaint to include claims based on agency and respondeat superior against the worker and his attorney. The complaint averred that the worker was terminated for performance and attendance deficiencies, rather than his age and the “acute leg pain” that required him to work part-time. The amended complaint further alleged that the worker had a “pattern” of filing job-related injury claims that resulted in settlements, as well as a disability discrimination suit and two workers compensation claims against his previous employer which also settled. Finally, the employer alleged that the worker filed the federal lawsuit as a “nuisance suit,” knowingly pursuing a false and meritless claim–and that his attorney should have known this as well.</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worker and his attorney filed preliminary objections in the nature of a demurrer, the trial court sustained the demurrers and dismissed the employer’s third amended complaint with prejudice. The employer appealed, claiming that the trial court failed to apply the proper analysis for a demurrer. In March of 2024, the Superior Court reversed its decision, finding that the trial court had indeed misapplied the law. Specifically, the trial court had wrongly concluded–without any evidentiary record–that the worker and his attorney acted in good faith and reasonably believed their discrimination claims were valid. This approach was inconsistent with the proper standard for ruling on a demurrer.</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Employer’s Wrongful Use of Civil Proceedings Claim Undermined by Own Testimony at Arbitration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reversal, the matter proceeded to arbitration, which lasted two full days rather than the typical few hours. During cross-examination, the employer’s own principal admitted that he had, in fact, discriminated against the worker in the underlying case–confirming there was probable cause for the original lawsuit.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amount at issue was less than $50,000, even relatively small matters can raise complex legal and factual issues—and experienced counsel can make all the difference. By skillfully guiding the case through procedural hurdles, arbitration, and ultimately securing a favorable result for their client, McCarron and Goldstein exemplified the diligence and precision required in wrongful use of civil proceedings claims—regardless of the dollar amount involved.</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 more information on Swartz Campbell’s Professional Liability Practice, or to speak with one of our attorneys, contact us </w:t>
      </w:r>
      <w:r w:rsidDel="00000000" w:rsidR="00000000" w:rsidRPr="00000000">
        <w:rPr>
          <w:rFonts w:ascii="Times New Roman" w:cs="Times New Roman" w:eastAsia="Times New Roman" w:hAnsi="Times New Roman"/>
          <w:i w:val="1"/>
          <w:sz w:val="24"/>
          <w:szCs w:val="24"/>
          <w:u w:val="single"/>
          <w:rtl w:val="0"/>
        </w:rPr>
        <w:t xml:space="preserve">here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