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40.png" ContentType="image/png"/>
  <Override PartName="/word/media/rId44.png" ContentType="image/png"/>
  <Override PartName="/word/media/rId49.png" ContentType="image/png"/>
  <Override PartName="/word/media/rId53.png" ContentType="image/png"/>
  <Override PartName="/word/media/rId5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NBHF</w:t>
      </w:r>
      <w:r>
        <w:t xml:space="preserve"> </w:t>
      </w:r>
      <w:r>
        <w:t xml:space="preserve">Clusters:</w:t>
      </w:r>
      <w:r>
        <w:t xml:space="preserve"> </w:t>
      </w:r>
      <w:r>
        <w:t xml:space="preserve">Streamlined</w:t>
      </w:r>
      <w:r>
        <w:t xml:space="preserve"> </w:t>
      </w:r>
      <w:r>
        <w:t xml:space="preserve">Results</w:t>
      </w:r>
    </w:p>
    <w:p>
      <w:pPr>
        <w:pStyle w:val="Author"/>
      </w:pPr>
      <w:r>
        <w:t xml:space="preserve">Jackson</w:t>
      </w:r>
      <w:r>
        <w:t xml:space="preserve"> </w:t>
      </w:r>
      <w:r>
        <w:t xml:space="preserve">Vanfleet-Brown</w:t>
      </w:r>
    </w:p>
    <w:p>
      <w:pPr>
        <w:pStyle w:val="Date"/>
      </w:pPr>
      <w:r>
        <w:t xml:space="preserve">2024-02-25</w:t>
      </w:r>
    </w:p>
    <w:bookmarkStart w:id="20" w:name="intro"/>
    <w:p>
      <w:pPr>
        <w:pStyle w:val="Heading2"/>
      </w:pPr>
      <w:r>
        <w:t xml:space="preserve">Intro</w:t>
      </w:r>
    </w:p>
    <w:p>
      <w:pPr>
        <w:pStyle w:val="FirstParagraph"/>
      </w:pPr>
      <w:r>
        <w:t xml:space="preserve">We want to identify clusters within our training set before we make our classifier learn from it. There are two objectives for unsupervised clustering:</w:t>
      </w:r>
    </w:p>
    <w:p>
      <w:pPr>
        <w:numPr>
          <w:ilvl w:val="0"/>
          <w:numId w:val="1001"/>
        </w:numPr>
        <w:pStyle w:val="Compact"/>
      </w:pPr>
      <w:r>
        <w:t xml:space="preserve">Look across species to identify whether species classes form separate clusters (</w:t>
      </w:r>
      <w:hyperlink w:anchor="sec-species">
        <w:r>
          <w:rPr>
            <w:rStyle w:val="Hyperlink"/>
          </w:rPr>
          <w:t xml:space="preserve">Section 1</w:t>
        </w:r>
      </w:hyperlink>
      <w:r>
        <w:t xml:space="preserve">).</w:t>
      </w:r>
    </w:p>
    <w:p>
      <w:pPr>
        <w:numPr>
          <w:ilvl w:val="1"/>
          <w:numId w:val="1002"/>
        </w:numPr>
        <w:pStyle w:val="Compact"/>
      </w:pPr>
      <w:r>
        <w:t xml:space="preserve">The existence of clusters suggests that there are meaningful differences between classes that the classifier can be trained to recognize.</w:t>
      </w:r>
    </w:p>
    <w:p>
      <w:pPr>
        <w:numPr>
          <w:ilvl w:val="0"/>
          <w:numId w:val="1001"/>
        </w:numPr>
        <w:pStyle w:val="Compact"/>
      </w:pPr>
      <w:r>
        <w:t xml:space="preserve">Look within species classes to assess variability among events (</w:t>
      </w:r>
      <w:hyperlink w:anchor="sec-events">
        <w:r>
          <w:rPr>
            <w:rStyle w:val="Hyperlink"/>
          </w:rPr>
          <w:t xml:space="preserve">Section 2</w:t>
        </w:r>
      </w:hyperlink>
      <w:r>
        <w:t xml:space="preserve">).</w:t>
      </w:r>
    </w:p>
    <w:p>
      <w:pPr>
        <w:numPr>
          <w:ilvl w:val="1"/>
          <w:numId w:val="1003"/>
        </w:numPr>
        <w:pStyle w:val="Compact"/>
      </w:pPr>
      <w:r>
        <w:t xml:space="preserve">The existence of clusters within an individual species class may indicate that there are outlying events with anomalous features that should be excluded from the training set.</w:t>
      </w:r>
    </w:p>
    <w:bookmarkEnd w:id="20"/>
    <w:bookmarkStart w:id="34" w:name="sec-species"/>
    <w:p>
      <w:pPr>
        <w:pStyle w:val="Heading2"/>
      </w:pPr>
      <w:r>
        <w:t xml:space="preserve">Objective 1</w:t>
      </w:r>
    </w:p>
    <w:bookmarkStart w:id="31" w:name="method"/>
    <w:p>
      <w:pPr>
        <w:pStyle w:val="Heading3"/>
      </w:pPr>
      <w:r>
        <w:t xml:space="preserve">Method</w:t>
      </w:r>
    </w:p>
    <w:bookmarkStart w:id="21" w:name="annotated-cell-1"/>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samp </w:t>
      </w:r>
      <w:r>
        <w:rPr>
          <w:rStyle w:val="OtherTok"/>
        </w:rPr>
        <w:t xml:space="preserve">&lt;-</w:t>
      </w:r>
      <w:r>
        <w:rPr>
          <w:rStyle w:val="NormalTok"/>
        </w:rPr>
        <w:t xml:space="preserve"> nbhf_clicks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w:t>
      </w:r>
      <w:r>
        <w:rPr>
          <w:rStyle w:val="DecValTok"/>
        </w:rPr>
        <w:t xml:space="preserve">200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samp_rm </w:t>
      </w:r>
      <w:r>
        <w:rPr>
          <w:rStyle w:val="OtherTok"/>
        </w:rPr>
        <w:t xml:space="preserve">&lt;-</w:t>
      </w:r>
      <w:r>
        <w:rPr>
          <w:rStyle w:val="NormalTok"/>
        </w:rPr>
        <w:t xml:space="preserve"> samp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(UID</w:t>
      </w:r>
      <w:r>
        <w:rPr>
          <w:rStyle w:val="SpecialCharTok"/>
        </w:rPr>
        <w:t xml:space="preserve">:</w:t>
      </w:r>
      <w:r>
        <w:rPr>
          <w:rStyle w:val="NormalTok"/>
        </w:rPr>
        <w:t xml:space="preserve">noiseLevel, BinaryFile, eventLabel,</w:t>
      </w:r>
      <w:r>
        <w:br/>
      </w:r>
      <w:r>
        <w:rPr>
          <w:rStyle w:val="NormalTok"/>
        </w:rPr>
        <w:t xml:space="preserve">            detectorName, db)) </w:t>
      </w:r>
      <w:r>
        <w:rPr>
          <w:rStyle w:val="SpecialCharTok"/>
        </w:rPr>
        <w:t xml:space="preserve">%&gt;%</w:t>
      </w:r>
      <w:r>
        <w:br/>
      </w:r>
      <w:r>
        <w:rPr>
          <w:rStyle w:val="NormalTok"/>
        </w:rPr>
        <w:t xml:space="preserve">  </w:t>
      </w:r>
      <w:r>
        <w:rPr>
          <w:rStyle w:val="FunctionTok"/>
        </w:rPr>
        <w:t xml:space="preserve">select</w:t>
      </w:r>
      <w:r>
        <w:rPr>
          <w:rStyle w:val="NormalTok"/>
        </w:rPr>
        <w:t xml:space="preserve">(species, eventId, duration</w:t>
      </w:r>
      <w:r>
        <w:rPr>
          <w:rStyle w:val="SpecialCharTok"/>
        </w:rPr>
        <w:t xml:space="preserve">:</w:t>
      </w:r>
      <w:r>
        <w:rPr>
          <w:rStyle w:val="NormalTok"/>
        </w:rPr>
        <w:t xml:space="preserve">peak,</w:t>
      </w:r>
      <w:r>
        <w:br/>
      </w:r>
      <w:r>
        <w:rPr>
          <w:rStyle w:val="NormalTok"/>
        </w:rPr>
        <w:t xml:space="preserve">         Q_10dB</w:t>
      </w:r>
      <w:r>
        <w:rPr>
          <w:rStyle w:val="SpecialCharTok"/>
        </w:rPr>
        <w:t xml:space="preserve">:</w:t>
      </w:r>
      <w:r>
        <w:rPr>
          <w:rStyle w:val="NormalTok"/>
        </w:rPr>
        <w:t xml:space="preserve">centerkHz_3dB)</w:t>
      </w:r>
      <w:r>
        <w:br/>
      </w:r>
      <w:r>
        <w:br/>
      </w:r>
      <w:r>
        <w:rPr>
          <w:rStyle w:val="NormalTok"/>
        </w:rPr>
        <w:t xml:space="preserve">dist </w:t>
      </w:r>
      <w:r>
        <w:rPr>
          <w:rStyle w:val="OtherTok"/>
        </w:rPr>
        <w:t xml:space="preserve">&lt;-</w:t>
      </w:r>
      <w:r>
        <w:rPr>
          <w:rStyle w:val="NormalTok"/>
        </w:rPr>
        <w:t xml:space="preserve"> samp_rm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(species, eventId))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column_to_rownames</w:t>
      </w:r>
      <w:r>
        <w:rPr>
          <w:rStyle w:val="NormalTok"/>
        </w:rPr>
        <w:t xml:space="preserve">(</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scale</w:t>
      </w:r>
      <w:r>
        <w:rPr>
          <w:rStyle w:val="NormalTok"/>
        </w:rPr>
        <w:t xml:space="preserve">() </w:t>
      </w:r>
      <w:r>
        <w:rPr>
          <w:rStyle w:val="SpecialCharTok"/>
        </w:rPr>
        <w:t xml:space="preserve">%&gt;%</w:t>
      </w:r>
      <w:r>
        <w:br/>
      </w:r>
      <w:r>
        <w:rPr>
          <w:rStyle w:val="NormalTok"/>
        </w:rPr>
        <w:t xml:space="preserve">  </w:t>
      </w:r>
      <w:r>
        <w:rPr>
          <w:rStyle w:val="FunctionTok"/>
        </w:rPr>
        <w:t xml:space="preserve">dist</w:t>
      </w:r>
      <w:r>
        <w:rPr>
          <w:rStyle w:val="NormalTok"/>
        </w:rPr>
        <w:t xml:space="preserve">(</w:t>
      </w:r>
      <w:r>
        <w:rPr>
          <w:rStyle w:val="AttributeTok"/>
        </w:rPr>
        <w:t xml:space="preserve">method=</w:t>
      </w:r>
      <w:r>
        <w:rPr>
          <w:rStyle w:val="StringTok"/>
        </w:rPr>
        <w:t xml:space="preserve">"euclidean"</w:t>
      </w:r>
      <w:r>
        <w:rPr>
          <w:rStyle w:val="NormalTok"/>
        </w:rPr>
        <w:t xml:space="preserve">)</w:t>
      </w:r>
      <w:r>
        <w:br/>
      </w:r>
      <w:r>
        <w:br/>
      </w:r>
      <w:r>
        <w:rPr>
          <w:rStyle w:val="NormalTok"/>
        </w:rPr>
        <w:t xml:space="preserve">cl </w:t>
      </w:r>
      <w:r>
        <w:rPr>
          <w:rStyle w:val="OtherTok"/>
        </w:rPr>
        <w:t xml:space="preserve">&lt;-</w:t>
      </w:r>
      <w:r>
        <w:rPr>
          <w:rStyle w:val="NormalTok"/>
        </w:rPr>
        <w:t xml:space="preserve"> </w:t>
      </w:r>
      <w:r>
        <w:rPr>
          <w:rStyle w:val="FunctionTok"/>
        </w:rPr>
        <w:t xml:space="preserve">densityClust</w:t>
      </w:r>
      <w:r>
        <w:rPr>
          <w:rStyle w:val="NormalTok"/>
        </w:rPr>
        <w:t xml:space="preserve">(dist)</w:t>
      </w:r>
      <w:r>
        <w:br/>
      </w:r>
      <w:r>
        <w:rPr>
          <w:rStyle w:val="NormalTok"/>
        </w:rPr>
        <w:t xml:space="preserve">cl </w:t>
      </w:r>
      <w:r>
        <w:rPr>
          <w:rStyle w:val="OtherTok"/>
        </w:rPr>
        <w:t xml:space="preserve">&lt;-</w:t>
      </w:r>
      <w:r>
        <w:rPr>
          <w:rStyle w:val="NormalTok"/>
        </w:rPr>
        <w:t xml:space="preserve"> </w:t>
      </w:r>
      <w:r>
        <w:rPr>
          <w:rStyle w:val="FunctionTok"/>
        </w:rPr>
        <w:t xml:space="preserve">findClusters</w:t>
      </w:r>
      <w:r>
        <w:rPr>
          <w:rStyle w:val="NormalTok"/>
        </w:rPr>
        <w:t xml:space="preserve">(cl, </w:t>
      </w:r>
      <w:r>
        <w:rPr>
          <w:rStyle w:val="AttributeTok"/>
        </w:rPr>
        <w:t xml:space="preserve">rho=</w:t>
      </w:r>
      <w:r>
        <w:rPr>
          <w:rStyle w:val="DecValTok"/>
        </w:rPr>
        <w:t xml:space="preserve">25</w:t>
      </w:r>
      <w:r>
        <w:rPr>
          <w:rStyle w:val="NormalTok"/>
        </w:rPr>
        <w:t xml:space="preserve">, </w:t>
      </w:r>
      <w:r>
        <w:rPr>
          <w:rStyle w:val="AttributeTok"/>
        </w:rPr>
        <w:t xml:space="preserve">delta=</w:t>
      </w:r>
      <w:r>
        <w:rPr>
          <w:rStyle w:val="DecValTok"/>
        </w:rPr>
        <w:t xml:space="preserve">2</w:t>
      </w:r>
      <w:r>
        <w:rPr>
          <w:rStyle w:val="NormalTok"/>
        </w:rPr>
        <w:t xml:space="preserve">)</w:t>
      </w:r>
    </w:p>
    <w:bookmarkEnd w:id="21"/>
    <w:p>
      <w:pPr>
        <w:pStyle w:val="DefinitionTerm"/>
      </w:pPr>
      <w:r>
        <w:t xml:space="preserve">Lines 4-5</w:t>
      </w:r>
    </w:p>
    <w:p>
      <w:pPr>
        <w:pStyle w:val="Definition"/>
      </w:pPr>
      <w:r>
        <w:t xml:space="preserve">Select 200 clicks at random from each species to reduce computational burden</w:t>
      </w:r>
    </w:p>
    <w:p>
      <w:pPr>
        <w:pStyle w:val="DefinitionTerm"/>
      </w:pPr>
      <w:r>
        <w:t xml:space="preserve">Lines 9-10</w:t>
      </w:r>
    </w:p>
    <w:p>
      <w:pPr>
        <w:pStyle w:val="Definition"/>
      </w:pPr>
      <w:r>
        <w:t xml:space="preserve">Drop metadata</w:t>
      </w:r>
    </w:p>
    <w:p>
      <w:pPr>
        <w:pStyle w:val="DefinitionTerm"/>
      </w:pPr>
      <w:r>
        <w:t xml:space="preserve">Lines 11-12</w:t>
      </w:r>
    </w:p>
    <w:p>
      <w:pPr>
        <w:pStyle w:val="Definition"/>
      </w:pPr>
      <w:r>
        <w:t xml:space="preserve">Drop variables such as</w:t>
      </w:r>
      <w:r>
        <w:t xml:space="preserve"> </w:t>
      </w:r>
      <w:r>
        <w:rPr>
          <w:rStyle w:val="VerbatimChar"/>
        </w:rPr>
        <w:t xml:space="preserve">peaktopeak2</w:t>
      </w:r>
      <w:r>
        <w:t xml:space="preserve">,</w:t>
      </w:r>
      <w:r>
        <w:t xml:space="preserve"> </w:t>
      </w:r>
      <w:r>
        <w:rPr>
          <w:rStyle w:val="VerbatimChar"/>
        </w:rPr>
        <w:t xml:space="preserve">trough</w:t>
      </w:r>
      <w:r>
        <w:t xml:space="preserve">, and others to avoid creating artifacts in the cluster plot.</w:t>
      </w:r>
    </w:p>
    <w:p>
      <w:pPr>
        <w:pStyle w:val="DefinitionTerm"/>
      </w:pPr>
      <w:r>
        <w:t xml:space="preserve">Line 19</w:t>
      </w:r>
    </w:p>
    <w:p>
      <w:pPr>
        <w:pStyle w:val="Definition"/>
      </w:pPr>
      <w:r>
        <w:t xml:space="preserve">Calculate Euclidean distances</w:t>
      </w:r>
    </w:p>
    <w:p>
      <w:pPr>
        <w:pStyle w:val="DefinitionTerm"/>
      </w:pPr>
      <w:r>
        <w:t xml:space="preserve">Line 22</w:t>
      </w:r>
    </w:p>
    <w:p>
      <w:pPr>
        <w:pStyle w:val="Definition"/>
      </w:pPr>
      <w:r>
        <w:t xml:space="preserve">Select value of</w:t>
      </w:r>
      <w:r>
        <w:t xml:space="preserve"> </w:t>
      </w:r>
      <m:oMath>
        <m:r>
          <m:t>δ</m:t>
        </m:r>
      </m:oMath>
      <w:r>
        <w:t xml:space="preserve"> </w:t>
      </w:r>
      <w:r>
        <w:t xml:space="preserve">and</w:t>
      </w:r>
      <w:r>
        <w:t xml:space="preserve"> </w:t>
      </w:r>
      <m:oMath>
        <m:r>
          <m:t>ρ</m:t>
        </m:r>
      </m:oMath>
      <w:r>
        <w:t xml:space="preserve">. This affects how many clusters into which the data will be partitioned.</w:t>
      </w:r>
    </w:p>
    <w:p>
      <w:pPr>
        <w:pStyle w:val="FirstParagraph"/>
      </w:pPr>
      <w:r>
        <w:t xml:space="preserve">Using the above method, the density clustering algorithm formed the clusters shown in</w:t>
      </w:r>
      <w:r>
        <w:t xml:space="preserve"> </w:t>
      </w:r>
      <w:hyperlink w:anchor="fig-density-clust">
        <w:r>
          <w:rPr>
            <w:rStyle w:val="Hyperlink"/>
          </w:rPr>
          <w:t xml:space="preserve">Figure 1</w:t>
        </w:r>
      </w:hyperlink>
      <w:r>
        <w:t xml:space="preserve">. The counts of each species in each of the resulting clusters is given in</w:t>
      </w:r>
      <w:r>
        <w:t xml:space="preserve"> </w:t>
      </w:r>
      <w:hyperlink w:anchor="tbl-clust-assn">
        <w:r>
          <w:rPr>
            <w:rStyle w:val="Hyperlink"/>
          </w:rPr>
          <w:t xml:space="preserve">Table 1</w:t>
        </w:r>
      </w:hyperlink>
      <w:r>
        <w:t xml:space="preserve">. The MDS plot is shown with the points colored by species in</w:t>
      </w:r>
      <w:r>
        <w:t xml:space="preserve"> </w:t>
      </w:r>
      <w:hyperlink w:anchor="fig-mds-specie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5" w:name="fig-density-clust"/>
          <w:p>
            <w:pPr>
              <w:pStyle w:val="Compact"/>
              <w:jc w:val="center"/>
            </w:pPr>
            <w:r>
              <w:drawing>
                <wp:inline>
                  <wp:extent cx="4620126" cy="3696101"/>
                  <wp:effectExtent b="0" l="0" r="0" t="0"/>
                  <wp:docPr descr="" title="" id="23" name="Picture"/>
                  <a:graphic>
                    <a:graphicData uri="http://schemas.openxmlformats.org/drawingml/2006/picture">
                      <pic:pic>
                        <pic:nvPicPr>
                          <pic:cNvPr descr="index_files/figure-docx/fig-density-clus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Density clusters with Four clusters formed with ρ=25 and δ=2</w:t>
            </w:r>
          </w:p>
          <w:bookmarkEnd w:id="25"/>
        </w:tc>
      </w:tr>
    </w:tbl>
    <w:tbl>
      <w:tblPr>
        <w:tblStyle w:val="Table"/>
        <w:tblW w:type="pct" w:w="5000"/>
        <w:tblLook w:firstRow="0" w:lastRow="0" w:firstColumn="0" w:lastColumn="0" w:noHBand="0" w:noVBand="0" w:val="0000"/>
        <w:jc w:val="start"/>
        <w:tblLayout w:type="fixed"/>
      </w:tblPr>
      <w:tblGrid>
        <w:gridCol w:w="7920"/>
      </w:tblGrid>
      <w:tr>
        <w:tc>
          <w:tcPr/>
          <w:bookmarkStart w:id="26" w:name="tbl-clust-assn"/>
          <w:p>
            <w:pPr>
              <w:jc w:val="center"/>
            </w:pPr>
            <w:pPr>
              <w:jc w:val="start"/>
              <w:spacing w:before="200"/>
              <w:pStyle w:val="ImageCaption"/>
            </w:pPr>
            <w:r>
              <w:t xml:space="preserve">Table 1: Table of cluster assignments</w:t>
            </w:r>
          </w:p>
          <w:p>
            <w:pPr>
              <w:pStyle w:val="SourceCode"/>
              <w:jc w:val="center"/>
            </w:pPr>
            <w:r>
              <w:rPr>
                <w:rStyle w:val="VerbatimChar"/>
              </w:rPr>
              <w:t xml:space="preserve">    </w:t>
            </w:r>
            <w:r>
              <w:br/>
            </w:r>
            <w:r>
              <w:rPr>
                <w:rStyle w:val="VerbatimChar"/>
              </w:rPr>
              <w:t xml:space="preserve">       1   2   3   4</w:t>
            </w:r>
            <w:r>
              <w:br/>
            </w:r>
            <w:r>
              <w:rPr>
                <w:rStyle w:val="VerbatimChar"/>
              </w:rPr>
              <w:t xml:space="preserve">  ks   2   4   3 191</w:t>
            </w:r>
            <w:r>
              <w:br/>
            </w:r>
            <w:r>
              <w:rPr>
                <w:rStyle w:val="VerbatimChar"/>
              </w:rPr>
              <w:t xml:space="preserve">  pd 170  10   0  20</w:t>
            </w:r>
            <w:r>
              <w:br/>
            </w:r>
            <w:r>
              <w:rPr>
                <w:rStyle w:val="VerbatimChar"/>
              </w:rPr>
              <w:t xml:space="preserve">  pp  59 137   0   4</w:t>
            </w:r>
          </w:p>
          <w:bookmarkEnd w:id="26"/>
        </w:tc>
      </w:tr>
    </w:tbl>
    <w:tbl>
      <w:tblPr>
        <w:tblStyle w:val="Table"/>
        <w:tblW w:type="pct" w:w="5000"/>
        <w:tblLook w:firstRow="0" w:lastRow="0" w:firstColumn="0" w:lastColumn="0" w:noHBand="0" w:noVBand="0" w:val="0000"/>
        <w:jc w:val="start"/>
        <w:tblLayout w:type="fixed"/>
      </w:tblPr>
      <w:tblGrid>
        <w:gridCol w:w="7920"/>
      </w:tblGrid>
      <w:tr>
        <w:tc>
          <w:tcPr/>
          <w:bookmarkStart w:id="30" w:name="fig-mds-species"/>
          <w:p>
            <w:pPr>
              <w:pStyle w:val="Compact"/>
              <w:jc w:val="center"/>
            </w:pPr>
            <w:r>
              <w:drawing>
                <wp:inline>
                  <wp:extent cx="4620126" cy="3696101"/>
                  <wp:effectExtent b="0" l="0" r="0" t="0"/>
                  <wp:docPr descr="" title="" id="28" name="Picture"/>
                  <a:graphic>
                    <a:graphicData uri="http://schemas.openxmlformats.org/drawingml/2006/picture">
                      <pic:pic>
                        <pic:nvPicPr>
                          <pic:cNvPr descr="index_files/figure-docx/fig-mds-specie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MDS plot showing distances between clicks in the training set, colored by species</w:t>
            </w:r>
          </w:p>
          <w:bookmarkEnd w:id="30"/>
        </w:tc>
      </w:tr>
    </w:tbl>
    <w:bookmarkEnd w:id="31"/>
    <w:bookmarkStart w:id="33" w:name="discussion"/>
    <w:p>
      <w:pPr>
        <w:pStyle w:val="Heading3"/>
      </w:pPr>
      <w:r>
        <w:t xml:space="preserve">Discussion</w:t>
      </w:r>
    </w:p>
    <w:p>
      <w:pPr>
        <w:numPr>
          <w:ilvl w:val="0"/>
          <w:numId w:val="1004"/>
        </w:numPr>
        <w:pStyle w:val="Compact"/>
      </w:pPr>
      <w:r>
        <w:t xml:space="preserve">For all species, we see that clicks cluster predominately in a single cluster, with little overlap between different species classes.</w:t>
      </w:r>
    </w:p>
    <w:p>
      <w:pPr>
        <w:numPr>
          <w:ilvl w:val="0"/>
          <w:numId w:val="1004"/>
        </w:numPr>
        <w:pStyle w:val="Compact"/>
      </w:pPr>
      <w:r>
        <w:t xml:space="preserve">The MDS plot similarly shows that clicks separate from one another on the basis of species class.</w:t>
      </w:r>
    </w:p>
    <w:p>
      <w:pPr>
        <w:numPr>
          <w:ilvl w:val="0"/>
          <w:numId w:val="1004"/>
        </w:numPr>
        <w:pStyle w:val="Compact"/>
      </w:pPr>
      <w:r>
        <w:t xml:space="preserve">From</w:t>
      </w:r>
      <w:r>
        <w:t xml:space="preserve"> </w:t>
      </w:r>
      <w:hyperlink w:anchor="tbl-clust-assn">
        <w:r>
          <w:rPr>
            <w:rStyle w:val="Hyperlink"/>
          </w:rPr>
          <w:t xml:space="preserve">Table 1</w:t>
        </w:r>
      </w:hyperlink>
      <w:r>
        <w:t xml:space="preserve"> </w:t>
      </w:r>
      <w:r>
        <w:t xml:space="preserve">we see that cluster 3 is very small, containing just three Kogia clicks.</w:t>
      </w:r>
    </w:p>
    <w:p>
      <w:pPr>
        <w:numPr>
          <w:ilvl w:val="1"/>
          <w:numId w:val="1005"/>
        </w:numPr>
        <w:pStyle w:val="Compact"/>
      </w:pPr>
      <w:hyperlink w:anchor="tbl-clust-ks">
        <w:r>
          <w:rPr>
            <w:rStyle w:val="Hyperlink"/>
          </w:rPr>
          <w:t xml:space="preserve">Table 2</w:t>
        </w:r>
      </w:hyperlink>
      <w:r>
        <w:t xml:space="preserve"> </w:t>
      </w:r>
      <w:r>
        <w:t xml:space="preserve">shows that the entirety of cluster 3 is formed from a few anomalous clicks in</w:t>
      </w:r>
      <w:r>
        <w:t xml:space="preserve"> </w:t>
      </w:r>
      <w:r>
        <w:rPr>
          <w:iCs/>
          <w:i/>
        </w:rPr>
        <w:t xml:space="preserve">Kogia</w:t>
      </w:r>
      <w:r>
        <w:t xml:space="preserve"> </w:t>
      </w:r>
      <w:r>
        <w:t xml:space="preserve">event identified as</w:t>
      </w:r>
      <w:r>
        <w:t xml:space="preserve"> </w:t>
      </w:r>
      <w:r>
        <w:rPr>
          <w:rStyle w:val="VerbatimChar"/>
        </w:rPr>
        <w:t xml:space="preserve">PG2_02_09_CCES_023_Ksp - Copy.OE4</w:t>
      </w:r>
      <w:r>
        <w:t xml:space="preserve">.</w:t>
      </w:r>
    </w:p>
    <w:p>
      <w:pPr>
        <w:numPr>
          <w:ilvl w:val="1"/>
          <w:numId w:val="1005"/>
        </w:numPr>
        <w:pStyle w:val="Compact"/>
      </w:pPr>
      <w:r>
        <w:t xml:space="preserve">That same event, which happens to be the largest</w:t>
      </w:r>
      <w:r>
        <w:t xml:space="preserve"> </w:t>
      </w:r>
      <w:r>
        <w:rPr>
          <w:iCs/>
          <w:i/>
        </w:rPr>
        <w:t xml:space="preserve">Kogia</w:t>
      </w:r>
      <w:r>
        <w:t xml:space="preserve"> </w:t>
      </w:r>
      <w:r>
        <w:t xml:space="preserve">event in the entire training set, has the overwhelming majority of it’s clicks in cluster 4.</w:t>
      </w:r>
    </w:p>
    <w:tbl>
      <w:tblPr>
        <w:tblStyle w:val="Table"/>
        <w:tblW w:type="pct" w:w="5000"/>
        <w:tblLook w:firstRow="0" w:lastRow="0" w:firstColumn="0" w:lastColumn="0" w:noHBand="0" w:noVBand="0" w:val="0000"/>
        <w:jc w:val="start"/>
        <w:tblLayout w:type="fixed"/>
      </w:tblPr>
      <w:tblGrid>
        <w:gridCol w:w="7920"/>
      </w:tblGrid>
      <w:tr>
        <w:tc>
          <w:tcPr/>
          <w:bookmarkStart w:id="32" w:name="tbl-clust-ks"/>
          <w:p>
            <w:pPr>
              <w:jc w:val="center"/>
            </w:pPr>
            <w:pPr>
              <w:jc w:val="start"/>
              <w:spacing w:before="200"/>
              <w:pStyle w:val="ImageCaption"/>
            </w:pPr>
            <w:r>
              <w:t xml:space="preserve">Table 2: Table of cluster assignments for all</w:t>
            </w:r>
            <w:r>
              <w:t xml:space="preserve"> </w:t>
            </w:r>
            <w:r>
              <w:rPr>
                <w:iCs/>
                <w:i/>
              </w:rPr>
              <w:t xml:space="preserve">Kogia</w:t>
            </w:r>
            <w:r>
              <w:t xml:space="preserve"> </w:t>
            </w:r>
            <w:r>
              <w:t xml:space="preserve">events</w:t>
            </w:r>
          </w:p>
          <w:p>
            <w:pPr>
              <w:pStyle w:val="SourceCode"/>
              <w:jc w:val="center"/>
            </w:pPr>
            <w:r>
              <w:rPr>
                <w:rStyle w:val="VerbatimChar"/>
              </w:rPr>
              <w:t xml:space="preserve">                                   </w:t>
            </w:r>
            <w:r>
              <w:br/>
            </w:r>
            <w:r>
              <w:rPr>
                <w:rStyle w:val="VerbatimChar"/>
              </w:rPr>
              <w:t xml:space="preserve">                                     1  2  3  4</w:t>
            </w:r>
            <w:r>
              <w:br/>
            </w:r>
            <w:r>
              <w:rPr>
                <w:rStyle w:val="VerbatimChar"/>
              </w:rPr>
              <w:t xml:space="preserve">  PG2_02_09_CCES_022_Ksp - Copy.OE1  0  0  0  4</w:t>
            </w:r>
            <w:r>
              <w:br/>
            </w:r>
            <w:r>
              <w:rPr>
                <w:rStyle w:val="VerbatimChar"/>
              </w:rPr>
              <w:t xml:space="preserve">  PG2_02_09_CCES_022_Ksp - Copy.OE2  0  0  0  9</w:t>
            </w:r>
            <w:r>
              <w:br/>
            </w:r>
            <w:r>
              <w:rPr>
                <w:rStyle w:val="VerbatimChar"/>
              </w:rPr>
              <w:t xml:space="preserve">  PG2_02_09_CCES_022_Ksp - Copy.OE3  0  0  0  9</w:t>
            </w:r>
            <w:r>
              <w:br/>
            </w:r>
            <w:r>
              <w:rPr>
                <w:rStyle w:val="VerbatimChar"/>
              </w:rPr>
              <w:t xml:space="preserve">  PG2_02_09_CCES_022_Ksp - Copy.OE4  0  0  0 12</w:t>
            </w:r>
            <w:r>
              <w:br/>
            </w:r>
            <w:r>
              <w:rPr>
                <w:rStyle w:val="VerbatimChar"/>
              </w:rPr>
              <w:t xml:space="preserve">  PG2_02_09_CCES_022_Ksp - Copy.OE5  0  0  0 34</w:t>
            </w:r>
            <w:r>
              <w:br/>
            </w:r>
            <w:r>
              <w:rPr>
                <w:rStyle w:val="VerbatimChar"/>
              </w:rPr>
              <w:t xml:space="preserve">  PG2_02_09_CCES_022_Ksp - Copy.OE6  0  0  0  3</w:t>
            </w:r>
            <w:r>
              <w:br/>
            </w:r>
            <w:r>
              <w:rPr>
                <w:rStyle w:val="VerbatimChar"/>
              </w:rPr>
              <w:t xml:space="preserve">  PG2_02_09_CCES_022_Ksp - Copy.OE7  0  0  0 11</w:t>
            </w:r>
            <w:r>
              <w:br/>
            </w:r>
            <w:r>
              <w:rPr>
                <w:rStyle w:val="VerbatimChar"/>
              </w:rPr>
              <w:t xml:space="preserve">  PG2_02_09_CCES_022_Ksp - Copy.OE8  1  0  0  9</w:t>
            </w:r>
            <w:r>
              <w:br/>
            </w:r>
            <w:r>
              <w:rPr>
                <w:rStyle w:val="VerbatimChar"/>
              </w:rPr>
              <w:t xml:space="preserve">  PG2_02_09_CCES_023_Ksp - Copy.OE1  0  0  0  7</w:t>
            </w:r>
            <w:r>
              <w:br/>
            </w:r>
            <w:r>
              <w:rPr>
                <w:rStyle w:val="VerbatimChar"/>
              </w:rPr>
              <w:t xml:space="preserve">  PG2_02_09_CCES_023_Ksp - Copy.OE2  0  0  0  5</w:t>
            </w:r>
            <w:r>
              <w:br/>
            </w:r>
            <w:r>
              <w:rPr>
                <w:rStyle w:val="VerbatimChar"/>
              </w:rPr>
              <w:t xml:space="preserve">  PG2_02_09_CCES_023_Ksp - Copy.OE3  0  0  0  8</w:t>
            </w:r>
            <w:r>
              <w:br/>
            </w:r>
            <w:r>
              <w:rPr>
                <w:rStyle w:val="VerbatimChar"/>
              </w:rPr>
              <w:t xml:space="preserve">  PG2_02_09_CCES_023_Ksp - Copy.OE4  1  0  3 46</w:t>
            </w:r>
            <w:r>
              <w:br/>
            </w:r>
            <w:r>
              <w:rPr>
                <w:rStyle w:val="VerbatimChar"/>
              </w:rPr>
              <w:t xml:space="preserve">  PG2_02_09_CCES_023_Ksp - Copy.OE5  0  0  0  5</w:t>
            </w:r>
            <w:r>
              <w:br/>
            </w:r>
            <w:r>
              <w:rPr>
                <w:rStyle w:val="VerbatimChar"/>
              </w:rPr>
              <w:t xml:space="preserve">  PG2_02_09_CCES_023_Ksp - Copy.OE6  0  2  0 18</w:t>
            </w:r>
            <w:r>
              <w:br/>
            </w:r>
            <w:r>
              <w:rPr>
                <w:rStyle w:val="VerbatimChar"/>
              </w:rPr>
              <w:t xml:space="preserve">  PG2_02_09_CCES_023_Ksp - Copy.OE7  0  2  0 11</w:t>
            </w:r>
          </w:p>
          <w:bookmarkEnd w:id="32"/>
        </w:tc>
      </w:tr>
    </w:tbl>
    <w:bookmarkEnd w:id="33"/>
    <w:bookmarkEnd w:id="34"/>
    <w:bookmarkStart w:id="64" w:name="sec-events"/>
    <w:p>
      <w:pPr>
        <w:pStyle w:val="Heading2"/>
      </w:pPr>
      <w:r>
        <w:t xml:space="preserve">Objective 2</w:t>
      </w:r>
    </w:p>
    <w:p>
      <w:pPr>
        <w:pStyle w:val="FirstParagraph"/>
      </w:pPr>
      <w:r>
        <w:t xml:space="preserve">We will now subset the training data by species and then re perform density clustering to identify anomalous events.</w:t>
      </w:r>
    </w:p>
    <w:bookmarkStart w:id="62" w:name="method-1"/>
    <w:p>
      <w:pPr>
        <w:pStyle w:val="Heading3"/>
      </w:pPr>
      <w:r>
        <w:t xml:space="preserve">Method</w:t>
      </w:r>
    </w:p>
    <w:bookmarkStart w:id="35" w:name="annotated-cell-2"/>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samp2 </w:t>
      </w:r>
      <w:r>
        <w:rPr>
          <w:rStyle w:val="OtherTok"/>
        </w:rPr>
        <w:t xml:space="preserve">&lt;-</w:t>
      </w:r>
      <w:r>
        <w:rPr>
          <w:rStyle w:val="NormalTok"/>
        </w:rPr>
        <w:t xml:space="preserve"> nbhf_clicks </w:t>
      </w:r>
      <w:r>
        <w:rPr>
          <w:rStyle w:val="SpecialCharTok"/>
        </w:rPr>
        <w:t xml:space="preserve">%&gt;%</w:t>
      </w:r>
      <w:r>
        <w:br/>
      </w:r>
      <w:r>
        <w:rPr>
          <w:rStyle w:val="NormalTok"/>
        </w:rPr>
        <w:t xml:space="preserve">  </w:t>
      </w:r>
      <w:r>
        <w:rPr>
          <w:rStyle w:val="FunctionTok"/>
        </w:rPr>
        <w:t xml:space="preserve">nest</w:t>
      </w:r>
      <w:r>
        <w:rPr>
          <w:rStyle w:val="NormalTok"/>
        </w:rPr>
        <w:t xml:space="preserve">(</w:t>
      </w:r>
      <w:r>
        <w:rPr>
          <w:rStyle w:val="AttributeTok"/>
        </w:rPr>
        <w:t xml:space="preserve">data=</w:t>
      </w:r>
      <w:r>
        <w:rPr>
          <w:rStyle w:val="SpecialCharTok"/>
        </w:rPr>
        <w:t xml:space="preserve">-</w:t>
      </w:r>
      <w:r>
        <w:rPr>
          <w:rStyle w:val="NormalTok"/>
        </w:rPr>
        <w:t xml:space="preserve">species)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median_ev_n=</w:t>
      </w:r>
      <w:r>
        <w:rPr>
          <w:rStyle w:val="FunctionTok"/>
        </w:rPr>
        <w:t xml:space="preserve">map_dbl</w:t>
      </w:r>
      <w:r>
        <w:rPr>
          <w:rStyle w:val="NormalTok"/>
        </w:rPr>
        <w:t xml:space="preserve">(data,\(d) d </w:t>
      </w:r>
      <w:r>
        <w:rPr>
          <w:rStyle w:val="SpecialCharTok"/>
        </w:rPr>
        <w:t xml:space="preserve">%&gt;%</w:t>
      </w:r>
      <w:r>
        <w:rPr>
          <w:rStyle w:val="NormalTok"/>
        </w:rPr>
        <w:t xml:space="preserve"> </w:t>
      </w:r>
      <w:r>
        <w:rPr>
          <w:rStyle w:val="FunctionTok"/>
        </w:rPr>
        <w:t xml:space="preserve">count</w:t>
      </w:r>
      <w:r>
        <w:rPr>
          <w:rStyle w:val="NormalTok"/>
        </w:rPr>
        <w:t xml:space="preserve">(eventId) </w:t>
      </w:r>
      <w:r>
        <w:rPr>
          <w:rStyle w:val="SpecialCharTok"/>
        </w:rPr>
        <w:t xml:space="preserve">%&gt;%</w:t>
      </w:r>
      <w:r>
        <w:rPr>
          <w:rStyle w:val="NormalTok"/>
        </w:rPr>
        <w:t xml:space="preserve"> </w:t>
      </w:r>
      <w:r>
        <w:rPr>
          <w:rStyle w:val="FunctionTok"/>
        </w:rPr>
        <w:t xml:space="preserve">pull</w:t>
      </w:r>
      <w:r>
        <w:rPr>
          <w:rStyle w:val="NormalTok"/>
        </w:rPr>
        <w:t xml:space="preserve">(n) </w:t>
      </w:r>
      <w:r>
        <w:rPr>
          <w:rStyle w:val="SpecialCharTok"/>
        </w:rPr>
        <w:t xml:space="preserve">%&gt;%</w:t>
      </w:r>
      <w:r>
        <w:rPr>
          <w:rStyle w:val="NormalTok"/>
        </w:rPr>
        <w:t xml:space="preserve"> </w:t>
      </w:r>
      <w:r>
        <w:rPr>
          <w:rStyle w:val="FunctionTok"/>
        </w:rPr>
        <w:t xml:space="preserve">median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w:t>
      </w:r>
      <w:r>
        <w:rPr>
          <w:rStyle w:val="FunctionTok"/>
        </w:rPr>
        <w:t xml:space="preserve">map2</w:t>
      </w:r>
      <w:r>
        <w:rPr>
          <w:rStyle w:val="NormalTok"/>
        </w:rPr>
        <w:t xml:space="preserve">(data, median_ev_n, \(d, s) d </w:t>
      </w:r>
      <w:r>
        <w:rPr>
          <w:rStyle w:val="SpecialCharTok"/>
        </w:rPr>
        <w:t xml:space="preserve">%&gt;%</w:t>
      </w:r>
      <w:r>
        <w:rPr>
          <w:rStyle w:val="NormalTok"/>
        </w:rPr>
        <w:t xml:space="preserve"> </w:t>
      </w:r>
      <w:r>
        <w:rPr>
          <w:rStyle w:val="FunctionTok"/>
        </w:rPr>
        <w:t xml:space="preserve">group_by</w:t>
      </w:r>
      <w:r>
        <w:rPr>
          <w:rStyle w:val="NormalTok"/>
        </w:rPr>
        <w:t xml:space="preserve">(eventId)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n=</w:t>
      </w:r>
      <w:r>
        <w:rPr>
          <w:rStyle w:val="NormalTok"/>
        </w:rPr>
        <w:t xml:space="preserve">s)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w:t>
      </w:r>
      <w:r>
        <w:rPr>
          <w:rStyle w:val="FunctionTok"/>
        </w:rPr>
        <w:t xml:space="preserve">map</w:t>
      </w:r>
      <w:r>
        <w:rPr>
          <w:rStyle w:val="NormalTok"/>
        </w:rPr>
        <w:t xml:space="preserve">(samp, \(s) </w:t>
      </w:r>
      <w:r>
        <w:rPr>
          <w:rStyle w:val="FunctionTok"/>
        </w:rPr>
        <w:t xml:space="preserve">select</w:t>
      </w:r>
      <w:r>
        <w:rPr>
          <w:rStyle w:val="NormalTok"/>
        </w:rPr>
        <w:t xml:space="preserve">(s, eventId, duration</w:t>
      </w:r>
      <w:r>
        <w:rPr>
          <w:rStyle w:val="SpecialCharTok"/>
        </w:rPr>
        <w:t xml:space="preserve">:</w:t>
      </w:r>
      <w:r>
        <w:rPr>
          <w:rStyle w:val="NormalTok"/>
        </w:rPr>
        <w:t xml:space="preserve">peak, Q_10dB</w:t>
      </w:r>
      <w:r>
        <w:rPr>
          <w:rStyle w:val="SpecialCharTok"/>
        </w:rPr>
        <w:t xml:space="preserve">:</w:t>
      </w:r>
      <w:r>
        <w:rPr>
          <w:rStyle w:val="NormalTok"/>
        </w:rPr>
        <w:t xml:space="preserve">centerkHz_3dB)))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w:t>
      </w:r>
      <w:r>
        <w:rPr>
          <w:rStyle w:val="FunctionTok"/>
        </w:rPr>
        <w:t xml:space="preserve">map</w:t>
      </w:r>
      <w:r>
        <w:rPr>
          <w:rStyle w:val="NormalTok"/>
        </w:rPr>
        <w:t xml:space="preserve">(samp, \(s) 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samp)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(samp)</w:t>
      </w:r>
      <w:r>
        <w:br/>
      </w:r>
      <w:r>
        <w:br/>
      </w:r>
      <w:r>
        <w:br/>
      </w:r>
      <w:r>
        <w:rPr>
          <w:rStyle w:val="NormalTok"/>
        </w:rPr>
        <w:t xml:space="preserve">sp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"ks"</w:t>
      </w:r>
      <w:r>
        <w:rPr>
          <w:rStyle w:val="NormalTok"/>
        </w:rPr>
        <w:t xml:space="preserve">, </w:t>
      </w:r>
      <w:r>
        <w:rPr>
          <w:rStyle w:val="StringTok"/>
        </w:rPr>
        <w:t xml:space="preserve">"pd"</w:t>
      </w:r>
      <w:r>
        <w:rPr>
          <w:rStyle w:val="NormalTok"/>
        </w:rPr>
        <w:t xml:space="preserve">, </w:t>
      </w:r>
      <w:r>
        <w:rPr>
          <w:rStyle w:val="StringTok"/>
        </w:rPr>
        <w:t xml:space="preserve">"pp"</w:t>
      </w:r>
      <w:r>
        <w:rPr>
          <w:rStyle w:val="NormalTok"/>
        </w:rPr>
        <w:t xml:space="preserve">)</w:t>
      </w:r>
      <w:r>
        <w:br/>
      </w:r>
      <w:r>
        <w:rPr>
          <w:rStyle w:val="NormalTok"/>
        </w:rPr>
        <w:t xml:space="preserve">clicks </w:t>
      </w:r>
      <w:r>
        <w:rPr>
          <w:rStyle w:val="OtherTok"/>
        </w:rPr>
        <w:t xml:space="preserve">&lt;-</w:t>
      </w:r>
      <w:r>
        <w:rPr>
          <w:rStyle w:val="NormalTok"/>
        </w:rPr>
        <w:t xml:space="preserve"> </w:t>
      </w:r>
      <w:r>
        <w:rPr>
          <w:rStyle w:val="FunctionTok"/>
        </w:rPr>
        <w:t xml:space="preserve">lapply</w:t>
      </w:r>
      <w:r>
        <w:rPr>
          <w:rStyle w:val="NormalTok"/>
        </w:rPr>
        <w:t xml:space="preserve">(sp, \(x) </w:t>
      </w:r>
      <w:r>
        <w:rPr>
          <w:rStyle w:val="FunctionTok"/>
        </w:rPr>
        <w:t xml:space="preserve">filter</w:t>
      </w:r>
      <w:r>
        <w:rPr>
          <w:rStyle w:val="NormalTok"/>
        </w:rPr>
        <w:t xml:space="preserve">(samp2, species</w:t>
      </w:r>
      <w:r>
        <w:rPr>
          <w:rStyle w:val="SpecialCharTok"/>
        </w:rPr>
        <w:t xml:space="preserve">==</w:t>
      </w:r>
      <w:r>
        <w:rPr>
          <w:rStyle w:val="NormalTok"/>
        </w:rPr>
        <w:t xml:space="preserve">x))</w:t>
      </w:r>
      <w:r>
        <w:br/>
      </w:r>
      <w:r>
        <w:rPr>
          <w:rStyle w:val="NormalTok"/>
        </w:rPr>
        <w:t xml:space="preserve">dist2 </w:t>
      </w:r>
      <w:r>
        <w:rPr>
          <w:rStyle w:val="OtherTok"/>
        </w:rPr>
        <w:t xml:space="preserve">&lt;-</w:t>
      </w:r>
      <w:r>
        <w:rPr>
          <w:rStyle w:val="NormalTok"/>
        </w:rPr>
        <w:t xml:space="preserve"> </w:t>
      </w:r>
      <w:r>
        <w:rPr>
          <w:rStyle w:val="FunctionTok"/>
        </w:rPr>
        <w:t xml:space="preserve">lapply</w:t>
      </w:r>
      <w:r>
        <w:rPr>
          <w:rStyle w:val="NormalTok"/>
        </w:rPr>
        <w:t xml:space="preserve">(clicks, \(c) c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(species, eventId)) </w:t>
      </w:r>
      <w:r>
        <w:rPr>
          <w:rStyle w:val="SpecialCharTok"/>
        </w:rPr>
        <w:t xml:space="preserve">%&gt;%</w:t>
      </w:r>
      <w:r>
        <w:rPr>
          <w:rStyle w:val="NormalTok"/>
        </w:rPr>
        <w:t xml:space="preserve"> </w:t>
      </w:r>
      <w:r>
        <w:rPr>
          <w:rStyle w:val="FunctionTok"/>
        </w:rPr>
        <w:t xml:space="preserve">column_to_rownames</w:t>
      </w:r>
      <w:r>
        <w:rPr>
          <w:rStyle w:val="Normal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rPr>
          <w:rStyle w:val="FunctionTok"/>
        </w:rPr>
        <w:t xml:space="preserve">dist</w:t>
      </w:r>
      <w:r>
        <w:rPr>
          <w:rStyle w:val="NormalTok"/>
        </w:rPr>
        <w:t xml:space="preserve">())</w:t>
      </w:r>
      <w:r>
        <w:br/>
      </w:r>
      <w:r>
        <w:rPr>
          <w:rStyle w:val="NormalTok"/>
        </w:rPr>
        <w:t xml:space="preserve">cl2 </w:t>
      </w:r>
      <w:r>
        <w:rPr>
          <w:rStyle w:val="OtherTok"/>
        </w:rPr>
        <w:t xml:space="preserve">&lt;-</w:t>
      </w:r>
      <w:r>
        <w:rPr>
          <w:rStyle w:val="NormalTok"/>
        </w:rPr>
        <w:t xml:space="preserve"> </w:t>
      </w:r>
      <w:r>
        <w:rPr>
          <w:rStyle w:val="FunctionTok"/>
        </w:rPr>
        <w:t xml:space="preserve">lapply</w:t>
      </w:r>
      <w:r>
        <w:rPr>
          <w:rStyle w:val="NormalTok"/>
        </w:rPr>
        <w:t xml:space="preserve">(dist2, densityClust)</w:t>
      </w:r>
      <w:r>
        <w:br/>
      </w:r>
      <w:r>
        <w:rPr>
          <w:rStyle w:val="NormalTok"/>
        </w:rPr>
        <w:t xml:space="preserve">cl2 </w:t>
      </w:r>
      <w:r>
        <w:rPr>
          <w:rStyle w:val="OtherTok"/>
        </w:rPr>
        <w:t xml:space="preserve">&lt;-</w:t>
      </w:r>
      <w:r>
        <w:rPr>
          <w:rStyle w:val="NormalTok"/>
        </w:rPr>
        <w:t xml:space="preserve"> </w:t>
      </w:r>
      <w:r>
        <w:rPr>
          <w:rStyle w:val="FunctionTok"/>
        </w:rPr>
        <w:t xml:space="preserve">lapply</w:t>
      </w:r>
      <w:r>
        <w:rPr>
          <w:rStyle w:val="NormalTok"/>
        </w:rPr>
        <w:t xml:space="preserve">(cl2, findClusters, </w:t>
      </w:r>
      <w:r>
        <w:rPr>
          <w:rStyle w:val="AttributeTok"/>
        </w:rPr>
        <w:t xml:space="preserve">delta =</w:t>
      </w:r>
      <w:r>
        <w:rPr>
          <w:rStyle w:val="NormalTok"/>
        </w:rPr>
        <w:t xml:space="preserve"> </w:t>
      </w:r>
      <w:r>
        <w:rPr>
          <w:rStyle w:val="DecValTok"/>
        </w:rPr>
        <w:t xml:space="preserve">8</w:t>
      </w:r>
      <w:r>
        <w:rPr>
          <w:rStyle w:val="NormalTok"/>
        </w:rPr>
        <w:t xml:space="preserve">, </w:t>
      </w:r>
      <w:r>
        <w:rPr>
          <w:rStyle w:val="AttributeTok"/>
        </w:rPr>
        <w:t xml:space="preserve">rho =</w:t>
      </w:r>
      <w:r>
        <w:rPr>
          <w:rStyle w:val="NormalTok"/>
        </w:rPr>
        <w:t xml:space="preserve"> </w:t>
      </w:r>
      <w:r>
        <w:rPr>
          <w:rStyle w:val="DecValTok"/>
        </w:rPr>
        <w:t xml:space="preserve">5</w:t>
      </w:r>
      <w:r>
        <w:rPr>
          <w:rStyle w:val="NormalTok"/>
        </w:rPr>
        <w:t xml:space="preserve">)</w:t>
      </w:r>
    </w:p>
    <w:bookmarkEnd w:id="35"/>
    <w:p>
      <w:pPr>
        <w:pStyle w:val="DefinitionTerm"/>
      </w:pPr>
      <w:r>
        <w:t xml:space="preserve">Line 5</w:t>
      </w:r>
    </w:p>
    <w:p>
      <w:pPr>
        <w:pStyle w:val="Definition"/>
      </w:pPr>
      <w:r>
        <w:t xml:space="preserve">Determine the median event</w:t>
      </w:r>
      <w:r>
        <w:t xml:space="preserve"> </w:t>
      </w:r>
      <m:oMath>
        <m:r>
          <m:t>n</m:t>
        </m:r>
      </m:oMath>
      <w:r>
        <w:t xml:space="preserve"> </w:t>
      </w:r>
      <w:r>
        <w:t xml:space="preserve">for each species</w:t>
      </w:r>
    </w:p>
    <w:p>
      <w:pPr>
        <w:pStyle w:val="DefinitionTerm"/>
      </w:pPr>
      <w:r>
        <w:t xml:space="preserve">Line 6</w:t>
      </w:r>
    </w:p>
    <w:p>
      <w:pPr>
        <w:pStyle w:val="Definition"/>
      </w:pPr>
      <w:r>
        <w:t xml:space="preserve">For events with</w:t>
      </w:r>
      <w:r>
        <w:t xml:space="preserve"> </w:t>
      </w:r>
      <m:oMath>
        <m:r>
          <m:t>n</m:t>
        </m:r>
      </m:oMath>
      <w:r>
        <w:t xml:space="preserve"> </w:t>
      </w:r>
      <w:r>
        <w:t xml:space="preserve">greater than the median, slice a sample in size equal to the median. Since event sizes could vary across several orders of magnitude, this was thought to help reduce over representation of certain events in the cluster plots.</w:t>
      </w:r>
    </w:p>
    <w:p>
      <w:pPr>
        <w:pStyle w:val="DefinitionTerm"/>
      </w:pPr>
      <w:r>
        <w:t xml:space="preserve">Line 7</w:t>
      </w:r>
    </w:p>
    <w:p>
      <w:pPr>
        <w:pStyle w:val="Definition"/>
      </w:pPr>
      <w:r>
        <w:t xml:space="preserve">Select variables of interest, same as in</w:t>
      </w:r>
      <w:r>
        <w:t xml:space="preserve"> </w:t>
      </w:r>
      <w:hyperlink w:anchor="sec-species">
        <w:r>
          <w:rPr>
            <w:rStyle w:val="Hyperlink"/>
          </w:rPr>
          <w:t xml:space="preserve">Section 1</w:t>
        </w:r>
      </w:hyperlink>
      <w:r>
        <w:t xml:space="preserve">.</w:t>
      </w:r>
    </w:p>
    <w:p>
      <w:pPr>
        <w:pStyle w:val="DefinitionTerm"/>
      </w:pPr>
      <w:r>
        <w:t xml:space="preserve">Line 14</w:t>
      </w:r>
    </w:p>
    <w:p>
      <w:pPr>
        <w:pStyle w:val="Definition"/>
      </w:pPr>
      <w:r>
        <w:t xml:space="preserve">Subset data by species class</w:t>
      </w:r>
    </w:p>
    <w:p>
      <w:pPr>
        <w:pStyle w:val="DefinitionTerm"/>
      </w:pPr>
      <w:r>
        <w:t xml:space="preserve">Line 15</w:t>
      </w:r>
    </w:p>
    <w:p>
      <w:pPr>
        <w:pStyle w:val="Definition"/>
      </w:pPr>
      <w:r>
        <w:t xml:space="preserve">Create distance matrices.</w:t>
      </w:r>
    </w:p>
    <w:p>
      <w:pPr>
        <w:pStyle w:val="DefinitionTerm"/>
      </w:pPr>
      <w:r>
        <w:t xml:space="preserve">Lines 16-17</w:t>
      </w:r>
    </w:p>
    <w:p>
      <w:pPr>
        <w:pStyle w:val="Definition"/>
      </w:pPr>
      <w:r>
        <w:t xml:space="preserve">Perform density clustering. Static values chosen for</w:t>
      </w:r>
      <w:r>
        <w:t xml:space="preserve"> </w:t>
      </w:r>
      <m:oMath>
        <m:r>
          <m:t>ρ</m:t>
        </m:r>
      </m:oMath>
      <w:r>
        <w:t xml:space="preserve"> </w:t>
      </w:r>
      <w:r>
        <w:t xml:space="preserve">and</w:t>
      </w:r>
      <w:r>
        <w:t xml:space="preserve"> </w:t>
      </w:r>
      <m:oMath>
        <m:r>
          <m:t>δ</m:t>
        </m:r>
      </m:oMath>
      <w:r>
        <w:t xml:space="preserve">. This decision does not seem to be critical, because the algorithm strongly favors a single cluster for each species.</w:t>
      </w:r>
    </w:p>
    <w:p>
      <w:pPr>
        <w:pStyle w:val="FirstParagraph"/>
      </w:pPr>
      <w:hyperlink w:anchor="fig-event-clusters">
        <w:r>
          <w:rPr>
            <w:rStyle w:val="Hyperlink"/>
          </w:rPr>
          <w:t xml:space="preserve">Figure 3</w:t>
        </w:r>
      </w:hyperlink>
      <w:r>
        <w:t xml:space="preserve"> </w:t>
      </w:r>
      <w:r>
        <w:t xml:space="preserve">shows the resulting density cluster plots and</w:t>
      </w:r>
      <w:r>
        <w:t xml:space="preserve"> </w:t>
      </w:r>
      <w:hyperlink w:anchor="fig-mds-events">
        <w:r>
          <w:rPr>
            <w:rStyle w:val="Hyperlink"/>
          </w:rPr>
          <w:t xml:space="preserve">Figure 4</w:t>
        </w:r>
      </w:hyperlink>
      <w:r>
        <w:t xml:space="preserve"> </w:t>
      </w:r>
      <w:r>
        <w:t xml:space="preserve">shows the plots with the points colored by event.</w:t>
      </w:r>
    </w:p>
    <w:tbl>
      <w:tblPr>
        <w:tblStyle w:val="Table"/>
        <w:tblW w:type="pct" w:w="5000"/>
        <w:tblLook w:firstRow="0" w:lastRow="0" w:firstColumn="0" w:lastColumn="0" w:noHBand="0" w:noVBand="0" w:val="0000"/>
        <w:jc w:val="start"/>
        <w:tblLayout w:type="fixed"/>
      </w:tblPr>
      <w:tblGrid>
        <w:gridCol w:w="7920"/>
      </w:tblGrid>
      <w:tr>
        <w:tc>
          <w:tcPr/>
          <w:bookmarkStart w:id="48" w:name="fig-event-clusters"/>
          <w:tbl>
            <w:tblPr>
              <w:tblStyle w:val="Table"/>
              <w:tblW w:type="pct" w:w="5000"/>
              <w:tblLook w:firstRow="0" w:lastRow="0" w:firstColumn="0" w:lastColumn="0" w:noHBand="0" w:noVBand="0" w:val="0000"/>
              <w:jc w:val="start"/>
              <w:tblLayout w:type="fixed"/>
            </w:tblPr>
            <w:tblGrid>
              <w:gridCol w:w="7920"/>
            </w:tblGrid>
            <w:tr>
              <w:tc>
                <w:tcPr/>
                <w:bookmarkStart w:id="39" w:name="fig-event-clusters-1"/>
                <w:p>
                  <w:pPr>
                    <w:pStyle w:val="Compact"/>
                    <w:jc w:val="center"/>
                    <w:jc w:val="center"/>
                  </w:pPr>
                  <w:r>
                    <w:drawing>
                      <wp:inline>
                        <wp:extent cx="4620126" cy="3696101"/>
                        <wp:effectExtent b="0" l="0" r="0" t="0"/>
                        <wp:docPr descr="" title="" id="37" name="Picture"/>
                        <a:graphic>
                          <a:graphicData uri="http://schemas.openxmlformats.org/drawingml/2006/picture">
                            <pic:pic>
                              <pic:nvPicPr>
                                <pic:cNvPr descr="index_files/figure-docx/fig-event-clusters-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w:t>
                  </w:r>
                  <w:r>
                    <w:t xml:space="preserve"> </w:t>
                  </w:r>
                  <w:r>
                    <w:rPr>
                      <w:iCs/>
                      <w:i/>
                    </w:rPr>
                    <w:t xml:space="preserve">Kogia</w:t>
                  </w:r>
                </w:p>
                <w:bookmarkEnd w:id="39"/>
              </w:tc>
            </w:tr>
          </w:tbl>
          <w:tbl>
            <w:tblPr>
              <w:tblStyle w:val="Table"/>
              <w:tblW w:type="pct" w:w="5000"/>
              <w:tblLook w:firstRow="0" w:lastRow="0" w:firstColumn="0" w:lastColumn="0" w:noHBand="0" w:noVBand="0" w:val="0000"/>
              <w:jc w:val="start"/>
              <w:tblLayout w:type="fixed"/>
            </w:tblPr>
            <w:tblGrid>
              <w:gridCol w:w="7920"/>
            </w:tblGrid>
            <w:tr>
              <w:tc>
                <w:tcPr/>
                <w:bookmarkStart w:id="43" w:name="fig-event-clusters-2"/>
                <w:p>
                  <w:pPr>
                    <w:pStyle w:val="Compact"/>
                    <w:jc w:val="center"/>
                    <w:jc w:val="center"/>
                  </w:pPr>
                  <w:r>
                    <w:drawing>
                      <wp:inline>
                        <wp:extent cx="4620126" cy="3696101"/>
                        <wp:effectExtent b="0" l="0" r="0" t="0"/>
                        <wp:docPr descr="" title="" id="41" name="Picture"/>
                        <a:graphic>
                          <a:graphicData uri="http://schemas.openxmlformats.org/drawingml/2006/picture">
                            <pic:pic>
                              <pic:nvPicPr>
                                <pic:cNvPr descr="index_files/figure-docx/fig-event-clusters-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Dall’s porpoise</w:t>
                  </w:r>
                </w:p>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7" w:name="fig-event-clusters-3"/>
                <w:p>
                  <w:pPr>
                    <w:pStyle w:val="Compact"/>
                    <w:jc w:val="center"/>
                    <w:jc w:val="center"/>
                  </w:pPr>
                  <w:r>
                    <w:drawing>
                      <wp:inline>
                        <wp:extent cx="4620126" cy="3696101"/>
                        <wp:effectExtent b="0" l="0" r="0" t="0"/>
                        <wp:docPr descr="" title="" id="45" name="Picture"/>
                        <a:graphic>
                          <a:graphicData uri="http://schemas.openxmlformats.org/drawingml/2006/picture">
                            <pic:pic>
                              <pic:nvPicPr>
                                <pic:cNvPr descr="index_files/figure-docx/fig-event-clusters-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Harbor porpoise</w:t>
                  </w:r>
                </w:p>
                <w:bookmarkEnd w:id="47"/>
              </w:tc>
            </w:tr>
          </w:tbl>
          <w:p>
            <w:pPr>
              <w:jc w:val="center"/>
            </w:pPr>
            <w:pPr>
              <w:jc w:val="start"/>
              <w:spacing w:before="200"/>
              <w:pStyle w:val="ImageCaption"/>
            </w:pPr>
            <w:r>
              <w:t xml:space="preserve">Figure 3: Click clusters for each species class</w:t>
            </w:r>
          </w:p>
          <w:bookmarkEnd w:id="48"/>
        </w:tc>
      </w:tr>
    </w:tbl>
    <w:tbl>
      <w:tblPr>
        <w:tblStyle w:val="Table"/>
        <w:tblW w:type="pct" w:w="5000"/>
        <w:tblLook w:firstRow="0" w:lastRow="0" w:firstColumn="0" w:lastColumn="0" w:noHBand="0" w:noVBand="0" w:val="0000"/>
        <w:jc w:val="start"/>
        <w:tblLayout w:type="fixed"/>
      </w:tblPr>
      <w:tblGrid>
        <w:gridCol w:w="7920"/>
      </w:tblGrid>
      <w:tr>
        <w:tc>
          <w:tcPr/>
          <w:bookmarkStart w:id="61" w:name="fig-mds-events"/>
          <w:tbl>
            <w:tblPr>
              <w:tblStyle w:val="Table"/>
              <w:tblW w:type="pct" w:w="5000"/>
              <w:tblLook w:firstRow="0" w:lastRow="0" w:firstColumn="0" w:lastColumn="0" w:noHBand="0" w:noVBand="0" w:val="0000"/>
              <w:jc w:val="start"/>
              <w:tblLayout w:type="fixed"/>
            </w:tblPr>
            <w:tblGrid>
              <w:gridCol w:w="7920"/>
            </w:tblGrid>
            <w:tr>
              <w:tc>
                <w:tcPr/>
                <w:bookmarkStart w:id="52" w:name="fig-mds-events-1"/>
                <w:p>
                  <w:pPr>
                    <w:pStyle w:val="Compact"/>
                    <w:jc w:val="center"/>
                    <w:jc w:val="center"/>
                  </w:pPr>
                  <w:r>
                    <w:drawing>
                      <wp:inline>
                        <wp:extent cx="4620126" cy="3696101"/>
                        <wp:effectExtent b="0" l="0" r="0" t="0"/>
                        <wp:docPr descr="" title="" id="50" name="Picture"/>
                        <a:graphic>
                          <a:graphicData uri="http://schemas.openxmlformats.org/drawingml/2006/picture">
                            <pic:pic>
                              <pic:nvPicPr>
                                <pic:cNvPr descr="index_files/figure-docx/fig-mds-events-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w:t>
                  </w:r>
                  <w:r>
                    <w:t xml:space="preserve"> </w:t>
                  </w:r>
                  <w:r>
                    <w:rPr>
                      <w:iCs/>
                      <w:i/>
                    </w:rPr>
                    <w:t xml:space="preserve">Kogia</w:t>
                  </w:r>
                </w:p>
                <w:bookmarkEnd w:id="52"/>
              </w:tc>
            </w:tr>
          </w:tbl>
          <w:tbl>
            <w:tblPr>
              <w:tblStyle w:val="Table"/>
              <w:tblW w:type="pct" w:w="5000"/>
              <w:tblLook w:firstRow="0" w:lastRow="0" w:firstColumn="0" w:lastColumn="0" w:noHBand="0" w:noVBand="0" w:val="0000"/>
              <w:jc w:val="start"/>
              <w:tblLayout w:type="fixed"/>
            </w:tblPr>
            <w:tblGrid>
              <w:gridCol w:w="7920"/>
            </w:tblGrid>
            <w:tr>
              <w:tc>
                <w:tcPr/>
                <w:bookmarkStart w:id="56" w:name="fig-mds-events-2"/>
                <w:p>
                  <w:pPr>
                    <w:pStyle w:val="Compact"/>
                    <w:jc w:val="center"/>
                    <w:jc w:val="center"/>
                  </w:pPr>
                  <w:r>
                    <w:drawing>
                      <wp:inline>
                        <wp:extent cx="4620126" cy="3696101"/>
                        <wp:effectExtent b="0" l="0" r="0" t="0"/>
                        <wp:docPr descr="" title="" id="54" name="Picture"/>
                        <a:graphic>
                          <a:graphicData uri="http://schemas.openxmlformats.org/drawingml/2006/picture">
                            <pic:pic>
                              <pic:nvPicPr>
                                <pic:cNvPr descr="index_files/figure-docx/fig-mds-events-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Dall’s porpoise</w:t>
                  </w:r>
                </w:p>
                <w:bookmarkEnd w:id="56"/>
              </w:tc>
            </w:tr>
          </w:tbl>
          <w:tbl>
            <w:tblPr>
              <w:tblStyle w:val="Table"/>
              <w:tblW w:type="pct" w:w="5000"/>
              <w:tblLook w:firstRow="0" w:lastRow="0" w:firstColumn="0" w:lastColumn="0" w:noHBand="0" w:noVBand="0" w:val="0000"/>
              <w:jc w:val="start"/>
              <w:tblLayout w:type="fixed"/>
            </w:tblPr>
            <w:tblGrid>
              <w:gridCol w:w="7920"/>
            </w:tblGrid>
            <w:tr>
              <w:tc>
                <w:tcPr/>
                <w:bookmarkStart w:id="60" w:name="fig-mds-events-3"/>
                <w:p>
                  <w:pPr>
                    <w:pStyle w:val="Compact"/>
                    <w:jc w:val="center"/>
                    <w:jc w:val="center"/>
                  </w:pPr>
                  <w:r>
                    <w:drawing>
                      <wp:inline>
                        <wp:extent cx="4620126" cy="3696101"/>
                        <wp:effectExtent b="0" l="0" r="0" t="0"/>
                        <wp:docPr descr="" title="" id="58" name="Picture"/>
                        <a:graphic>
                          <a:graphicData uri="http://schemas.openxmlformats.org/drawingml/2006/picture">
                            <pic:pic>
                              <pic:nvPicPr>
                                <pic:cNvPr descr="index_files/figure-docx/fig-mds-events-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Harbor porpoise</w:t>
                  </w:r>
                </w:p>
                <w:bookmarkEnd w:id="60"/>
              </w:tc>
            </w:tr>
          </w:tbl>
          <w:p>
            <w:pPr>
              <w:jc w:val="center"/>
            </w:pPr>
            <w:pPr>
              <w:jc w:val="start"/>
              <w:spacing w:before="200"/>
              <w:pStyle w:val="ImageCaption"/>
            </w:pPr>
            <w:r>
              <w:t xml:space="preserve">Figure 4: MDS plot showing distances between clicks, colored by event. Legend is hidden due to large number of events in each species class.</w:t>
            </w:r>
          </w:p>
          <w:bookmarkEnd w:id="61"/>
        </w:tc>
      </w:tr>
    </w:tbl>
    <w:bookmarkEnd w:id="62"/>
    <w:bookmarkStart w:id="63" w:name="discussion-1"/>
    <w:p>
      <w:pPr>
        <w:pStyle w:val="Heading3"/>
      </w:pPr>
      <w:r>
        <w:t xml:space="preserve">Discussion</w:t>
      </w:r>
    </w:p>
    <w:p>
      <w:pPr>
        <w:numPr>
          <w:ilvl w:val="0"/>
          <w:numId w:val="1006"/>
        </w:numPr>
        <w:pStyle w:val="Compact"/>
      </w:pPr>
      <w:r>
        <w:t xml:space="preserve">The density clustering algorithm appears to strongly favors a single cluster in each species, suggesting that there are no outlying events.</w:t>
      </w:r>
    </w:p>
    <w:p>
      <w:pPr>
        <w:numPr>
          <w:ilvl w:val="0"/>
          <w:numId w:val="1006"/>
        </w:numPr>
        <w:pStyle w:val="Compact"/>
      </w:pPr>
      <w:r>
        <w:t xml:space="preserve">When points are colored by event, variation among events is more evident. This variation does not appear to be strong enough to manifest as more than one density-based cluster.</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NBHF Clusters: Streamlined Results</dc:title>
  <dc:creator>Jackson Vanfleet-Brown</dc:creator>
  <cp:keywords/>
  <dcterms:created xsi:type="dcterms:W3CDTF">2024-02-26T17:17:06Z</dcterms:created>
  <dcterms:modified xsi:type="dcterms:W3CDTF">2024-02-26T17:17:06Z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2024-02-25</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