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NBHF</w:t>
      </w:r>
      <w:r>
        <w:t xml:space="preserve"> </w:t>
      </w:r>
      <w:r>
        <w:t xml:space="preserve">Clusters:</w:t>
      </w:r>
      <w:r>
        <w:t xml:space="preserve"> </w:t>
      </w:r>
      <w:r>
        <w:t xml:space="preserve">Streamlined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Jackson</w:t>
      </w:r>
      <w:r>
        <w:t xml:space="preserve"> </w:t>
      </w:r>
      <w:r>
        <w:t xml:space="preserve">Vanfleet-Brown</w:t>
      </w:r>
    </w:p>
    <w:p>
      <w:pPr>
        <w:pStyle w:val="Date"/>
      </w:pPr>
      <w:r>
        <w:t xml:space="preserve">2024-02-25</w:t>
      </w:r>
    </w:p>
    <w:bookmarkStart w:id="20" w:name="intro"/>
    <w:p>
      <w:pPr>
        <w:pStyle w:val="Heading2"/>
      </w:pPr>
      <w:r>
        <w:t xml:space="preserve">Intro</w:t>
      </w:r>
    </w:p>
    <w:p>
      <w:pPr>
        <w:pStyle w:val="FirstParagraph"/>
      </w:pPr>
      <w:r>
        <w:t xml:space="preserve">We want to identify clusters within our training set before we make our classifier learn from it. There are two objectives for unsupervised clustering:</w:t>
      </w:r>
    </w:p>
    <w:p>
      <w:pPr>
        <w:numPr>
          <w:ilvl w:val="0"/>
          <w:numId w:val="1001"/>
        </w:numPr>
        <w:pStyle w:val="Compact"/>
      </w:pPr>
      <w:r>
        <w:t xml:space="preserve">Look across species to identify whether species classes form separate clusters (</w:t>
      </w:r>
      <w:hyperlink w:anchor="sec-species">
        <w:r>
          <w:rPr>
            <w:rStyle w:val="Hyperlink"/>
          </w:rPr>
          <w:t xml:space="preserve">Section 1</w:t>
        </w:r>
      </w:hyperlink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t xml:space="preserve">The existence of clusters suggests that there are meaningful differences between classes that the classifier can be trained to recognize.</w:t>
      </w:r>
    </w:p>
    <w:p>
      <w:pPr>
        <w:numPr>
          <w:ilvl w:val="0"/>
          <w:numId w:val="1001"/>
        </w:numPr>
        <w:pStyle w:val="Compact"/>
      </w:pPr>
      <w:r>
        <w:t xml:space="preserve">Look within species classes to assess variability among events (</w:t>
      </w:r>
      <w:hyperlink w:anchor="sec-events">
        <w:r>
          <w:rPr>
            <w:rStyle w:val="Hyperlink"/>
          </w:rPr>
          <w:t xml:space="preserve">Section 2</w:t>
        </w:r>
      </w:hyperlink>
      <w:r>
        <w:t xml:space="preserve">).</w:t>
      </w:r>
    </w:p>
    <w:p>
      <w:pPr>
        <w:numPr>
          <w:ilvl w:val="1"/>
          <w:numId w:val="1003"/>
        </w:numPr>
        <w:pStyle w:val="Compact"/>
      </w:pPr>
      <w:r>
        <w:t xml:space="preserve">The existence of clusters within an individual species class may indicate that there are outlying events with anomalous features that should be excluded from the training set.</w:t>
      </w:r>
    </w:p>
    <w:bookmarkEnd w:id="20"/>
    <w:bookmarkStart w:id="33" w:name="sec-species"/>
    <w:p>
      <w:pPr>
        <w:pStyle w:val="Heading2"/>
      </w:pPr>
      <w:r>
        <w:t xml:space="preserve">Objective 1</w:t>
      </w:r>
    </w:p>
    <w:bookmarkStart w:id="30" w:name="method"/>
    <w:p>
      <w:pPr>
        <w:pStyle w:val="Heading3"/>
      </w:pPr>
      <w:r>
        <w:t xml:space="preserve">Method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slice sample of 200 clicks from each species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nbhf_clicks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samp_rm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metadata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(UID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noiseLevel, BinaryFile, eventLabel,detectorName, db))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variables to avoid creating artifacts in the cluster plot.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eventId, duration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peak, Q_10dB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centerkHz_3dB)</w:t>
      </w:r>
      <w:r>
        <w:br/>
      </w:r>
      <w:r>
        <w:br/>
      </w:r>
      <w:r>
        <w:rPr>
          <w:rStyle w:val="CommentTok"/>
        </w:rPr>
        <w:t xml:space="preserve"># calculate Euclidean distances</w:t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samp_rm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(species, eventId))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densityClust</w:t>
      </w:r>
      <w:r>
        <w:rPr>
          <w:rStyle w:val="NormalTok"/>
        </w:rPr>
        <w:t xml:space="preserve">(dist)</w:t>
      </w:r>
      <w:r>
        <w:br/>
      </w:r>
      <w:r>
        <w:rPr>
          <w:rStyle w:val="CommentTok"/>
        </w:rPr>
        <w:t xml:space="preserve"># set rho and delta values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findClusters</w:t>
      </w:r>
      <w:r>
        <w:rPr>
          <w:rStyle w:val="NormalTok"/>
        </w:rPr>
        <w:t xml:space="preserve">(cl, </w:t>
      </w:r>
      <w:r>
        <w:rPr>
          <w:rStyle w:val="AttributeTok"/>
        </w:rPr>
        <w:t xml:space="preserve">rho=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delta=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Using the above method, the density clustering algorithm formed the clusters shown in</w:t>
      </w:r>
      <w:r>
        <w:t xml:space="preserve"> </w:t>
      </w:r>
      <w:hyperlink w:anchor="fig-density-clust">
        <w:r>
          <w:rPr>
            <w:rStyle w:val="Hyperlink"/>
          </w:rPr>
          <w:t xml:space="preserve">Figure 1</w:t>
        </w:r>
      </w:hyperlink>
      <w:r>
        <w:t xml:space="preserve">. The counts of each species in each of the resulting clusters is given in</w:t>
      </w:r>
      <w:r>
        <w:t xml:space="preserve"> </w:t>
      </w:r>
      <w:hyperlink w:anchor="tbl-clust-assn">
        <w:r>
          <w:rPr>
            <w:rStyle w:val="Hyperlink"/>
          </w:rPr>
          <w:t xml:space="preserve">Table 1</w:t>
        </w:r>
      </w:hyperlink>
      <w:r>
        <w:t xml:space="preserve">. The MDS plot is shown with the points colored by species in</w:t>
      </w:r>
      <w:r>
        <w:t xml:space="preserve"> </w:t>
      </w:r>
      <w:hyperlink w:anchor="fig-mds-species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density-clust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density-clus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Density clusters with Four clusters formed with ρ=25 and δ=2</w:t>
            </w:r>
          </w:p>
          <w:bookmarkEnd w:id="24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5" w:name="tbl-clust-ass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of cluster assignments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</w:t>
            </w:r>
            <w:r>
              <w:br/>
            </w:r>
            <w:r>
              <w:rPr>
                <w:rStyle w:val="VerbatimChar"/>
              </w:rPr>
              <w:t xml:space="preserve">       1   2   3   4</w:t>
            </w:r>
            <w:r>
              <w:br/>
            </w:r>
            <w:r>
              <w:rPr>
                <w:rStyle w:val="VerbatimChar"/>
              </w:rPr>
              <w:t xml:space="preserve">  ks   2   4   3 191</w:t>
            </w:r>
            <w:r>
              <w:br/>
            </w:r>
            <w:r>
              <w:rPr>
                <w:rStyle w:val="VerbatimChar"/>
              </w:rPr>
              <w:t xml:space="preserve">  pd 170  10   0  20</w:t>
            </w:r>
            <w:r>
              <w:br/>
            </w:r>
            <w:r>
              <w:rPr>
                <w:rStyle w:val="VerbatimChar"/>
              </w:rPr>
              <w:t xml:space="preserve">  pp  59 137   0   4</w:t>
            </w:r>
          </w:p>
          <w:bookmarkEnd w:id="25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mds-specie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ds-species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MDS plot showing distances between clicks in the training set, colored by species</w:t>
            </w:r>
          </w:p>
          <w:bookmarkEnd w:id="29"/>
        </w:tc>
      </w:tr>
    </w:tbl>
    <w:bookmarkEnd w:id="30"/>
    <w:bookmarkStart w:id="32" w:name="discussion"/>
    <w:p>
      <w:pPr>
        <w:pStyle w:val="Heading3"/>
      </w:pPr>
      <w:r>
        <w:t xml:space="preserve">Discussion</w:t>
      </w:r>
    </w:p>
    <w:p>
      <w:pPr>
        <w:numPr>
          <w:ilvl w:val="0"/>
          <w:numId w:val="1004"/>
        </w:numPr>
        <w:pStyle w:val="Compact"/>
      </w:pPr>
      <w:r>
        <w:t xml:space="preserve">For all species, we see that clicks cluster predominately in a single cluster, with little overlap between different species classes.</w:t>
      </w:r>
    </w:p>
    <w:p>
      <w:pPr>
        <w:numPr>
          <w:ilvl w:val="0"/>
          <w:numId w:val="1004"/>
        </w:numPr>
        <w:pStyle w:val="Compact"/>
      </w:pPr>
      <w:r>
        <w:t xml:space="preserve">The MDS plot similarly shows that clicks separate from one another on the basis of species class.</w:t>
      </w:r>
    </w:p>
    <w:p>
      <w:pPr>
        <w:numPr>
          <w:ilvl w:val="0"/>
          <w:numId w:val="1004"/>
        </w:numPr>
        <w:pStyle w:val="Compact"/>
      </w:pPr>
      <w:r>
        <w:t xml:space="preserve">From</w:t>
      </w:r>
      <w:r>
        <w:t xml:space="preserve"> </w:t>
      </w:r>
      <w:hyperlink w:anchor="tbl-clust-assn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we see that cluster 3 is very small, containing just three Kogia clicks.</w:t>
      </w:r>
    </w:p>
    <w:p>
      <w:pPr>
        <w:numPr>
          <w:ilvl w:val="1"/>
          <w:numId w:val="1005"/>
        </w:numPr>
        <w:pStyle w:val="Compact"/>
      </w:pPr>
      <w:hyperlink w:anchor="tbl-clust-k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that the entirety of cluster 3 is formed from a few anomalous clicks in</w:t>
      </w:r>
      <w:r>
        <w:t xml:space="preserve"> </w:t>
      </w:r>
      <w:r>
        <w:rPr>
          <w:iCs/>
          <w:i/>
        </w:rPr>
        <w:t xml:space="preserve">Kogia</w:t>
      </w:r>
      <w:r>
        <w:t xml:space="preserve"> </w:t>
      </w:r>
      <w:r>
        <w:t xml:space="preserve">event identified as</w:t>
      </w:r>
      <w:r>
        <w:t xml:space="preserve"> </w:t>
      </w:r>
      <w:r>
        <w:rPr>
          <w:rStyle w:val="VerbatimChar"/>
        </w:rPr>
        <w:t xml:space="preserve">PG2_02_09_CCES_023_Ksp - Copy.OE4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That same event, which happens to be the largest</w:t>
      </w:r>
      <w:r>
        <w:t xml:space="preserve"> </w:t>
      </w:r>
      <w:r>
        <w:rPr>
          <w:iCs/>
          <w:i/>
        </w:rPr>
        <w:t xml:space="preserve">Kogia</w:t>
      </w:r>
      <w:r>
        <w:t xml:space="preserve"> </w:t>
      </w:r>
      <w:r>
        <w:t xml:space="preserve">event in the entire training set, has the overwhelming majority of it’s clicks in cluster 4.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tbl-clust-k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Table of cluster assignments for all</w:t>
            </w:r>
            <w:r>
              <w:t xml:space="preserve"> </w:t>
            </w:r>
            <w:r>
              <w:rPr>
                <w:iCs/>
                <w:i/>
              </w:rPr>
              <w:t xml:space="preserve">Kogia</w:t>
            </w:r>
            <w:r>
              <w:t xml:space="preserve"> </w:t>
            </w:r>
            <w:r>
              <w:t xml:space="preserve">events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                           </w:t>
            </w:r>
            <w:r>
              <w:br/>
            </w:r>
            <w:r>
              <w:rPr>
                <w:rStyle w:val="VerbatimChar"/>
              </w:rPr>
              <w:t xml:space="preserve">                                     1  2  3  4</w:t>
            </w:r>
            <w:r>
              <w:br/>
            </w:r>
            <w:r>
              <w:rPr>
                <w:rStyle w:val="VerbatimChar"/>
              </w:rPr>
              <w:t xml:space="preserve">  PG2_02_09_CCES_022_Ksp - Copy.OE1  0  0  0  4</w:t>
            </w:r>
            <w:r>
              <w:br/>
            </w:r>
            <w:r>
              <w:rPr>
                <w:rStyle w:val="VerbatimChar"/>
              </w:rPr>
              <w:t xml:space="preserve">  PG2_02_09_CCES_022_Ksp - Copy.OE2  0  0  0  9</w:t>
            </w:r>
            <w:r>
              <w:br/>
            </w:r>
            <w:r>
              <w:rPr>
                <w:rStyle w:val="VerbatimChar"/>
              </w:rPr>
              <w:t xml:space="preserve">  PG2_02_09_CCES_022_Ksp - Copy.OE3  0  0  0  9</w:t>
            </w:r>
            <w:r>
              <w:br/>
            </w:r>
            <w:r>
              <w:rPr>
                <w:rStyle w:val="VerbatimChar"/>
              </w:rPr>
              <w:t xml:space="preserve">  PG2_02_09_CCES_022_Ksp - Copy.OE4  0  0  0 12</w:t>
            </w:r>
            <w:r>
              <w:br/>
            </w:r>
            <w:r>
              <w:rPr>
                <w:rStyle w:val="VerbatimChar"/>
              </w:rPr>
              <w:t xml:space="preserve">  PG2_02_09_CCES_022_Ksp - Copy.OE5  0  0  0 34</w:t>
            </w:r>
            <w:r>
              <w:br/>
            </w:r>
            <w:r>
              <w:rPr>
                <w:rStyle w:val="VerbatimChar"/>
              </w:rPr>
              <w:t xml:space="preserve">  PG2_02_09_CCES_022_Ksp - Copy.OE6  0  0  0  3</w:t>
            </w:r>
            <w:r>
              <w:br/>
            </w:r>
            <w:r>
              <w:rPr>
                <w:rStyle w:val="VerbatimChar"/>
              </w:rPr>
              <w:t xml:space="preserve">  PG2_02_09_CCES_022_Ksp - Copy.OE7  0  0  0 11</w:t>
            </w:r>
            <w:r>
              <w:br/>
            </w:r>
            <w:r>
              <w:rPr>
                <w:rStyle w:val="VerbatimChar"/>
              </w:rPr>
              <w:t xml:space="preserve">  PG2_02_09_CCES_022_Ksp - Copy.OE8  1  0  0  9</w:t>
            </w:r>
            <w:r>
              <w:br/>
            </w:r>
            <w:r>
              <w:rPr>
                <w:rStyle w:val="VerbatimChar"/>
              </w:rPr>
              <w:t xml:space="preserve">  PG2_02_09_CCES_023_Ksp - Copy.OE1  0  0  0  7</w:t>
            </w:r>
            <w:r>
              <w:br/>
            </w:r>
            <w:r>
              <w:rPr>
                <w:rStyle w:val="VerbatimChar"/>
              </w:rPr>
              <w:t xml:space="preserve">  PG2_02_09_CCES_023_Ksp - Copy.OE2  0  0  0  5</w:t>
            </w:r>
            <w:r>
              <w:br/>
            </w:r>
            <w:r>
              <w:rPr>
                <w:rStyle w:val="VerbatimChar"/>
              </w:rPr>
              <w:t xml:space="preserve">  PG2_02_09_CCES_023_Ksp - Copy.OE3  0  0  0  8</w:t>
            </w:r>
            <w:r>
              <w:br/>
            </w:r>
            <w:r>
              <w:rPr>
                <w:rStyle w:val="VerbatimChar"/>
              </w:rPr>
              <w:t xml:space="preserve">  PG2_02_09_CCES_023_Ksp - Copy.OE4  1  0  3 46</w:t>
            </w:r>
            <w:r>
              <w:br/>
            </w:r>
            <w:r>
              <w:rPr>
                <w:rStyle w:val="VerbatimChar"/>
              </w:rPr>
              <w:t xml:space="preserve">  PG2_02_09_CCES_023_Ksp - Copy.OE5  0  0  0  5</w:t>
            </w:r>
            <w:r>
              <w:br/>
            </w:r>
            <w:r>
              <w:rPr>
                <w:rStyle w:val="VerbatimChar"/>
              </w:rPr>
              <w:t xml:space="preserve">  PG2_02_09_CCES_023_Ksp - Copy.OE6  0  2  0 18</w:t>
            </w:r>
            <w:r>
              <w:br/>
            </w:r>
            <w:r>
              <w:rPr>
                <w:rStyle w:val="VerbatimChar"/>
              </w:rPr>
              <w:t xml:space="preserve">  PG2_02_09_CCES_023_Ksp - Copy.OE7  0  2  0 11</w:t>
            </w:r>
          </w:p>
          <w:bookmarkEnd w:id="31"/>
        </w:tc>
      </w:tr>
    </w:tbl>
    <w:bookmarkEnd w:id="32"/>
    <w:bookmarkEnd w:id="33"/>
    <w:bookmarkStart w:id="62" w:name="sec-events"/>
    <w:p>
      <w:pPr>
        <w:pStyle w:val="Heading2"/>
      </w:pPr>
      <w:r>
        <w:t xml:space="preserve">Objective 2</w:t>
      </w:r>
    </w:p>
    <w:p>
      <w:pPr>
        <w:pStyle w:val="FirstParagraph"/>
      </w:pPr>
      <w:r>
        <w:t xml:space="preserve">We will now subset the training data by species and then re perform density clustering to identify anomalous events.</w:t>
      </w:r>
    </w:p>
    <w:bookmarkStart w:id="60" w:name="method-1"/>
    <w:p>
      <w:pPr>
        <w:pStyle w:val="Heading3"/>
      </w:pPr>
      <w:r>
        <w:t xml:space="preserve">Method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nbhf_clicks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determine the median event n for each species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median_ev_n=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(data,\(d) 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(eventId)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events with n greater than the median, slice a sample in size equal to the median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since n varies across two orders of magnitude, intended to balance representation in the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samp=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(data, median_ev_n, \(d, s) 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(eventId)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variables of interest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samp=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(samp, \(s)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(s, eventId, duration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peak, Q_10dB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centerkHz_3dB)))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samp=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(samp, \(s) 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samp)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(samp)</w:t>
      </w:r>
      <w:r>
        <w:br/>
      </w:r>
      <w:r>
        <w:br/>
      </w:r>
      <w:r>
        <w:br/>
      </w: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subset data by species</w:t>
      </w:r>
      <w:r>
        <w:br/>
      </w:r>
      <w:r>
        <w:rPr>
          <w:rStyle w:val="NormalTok"/>
        </w:rPr>
        <w:t xml:space="preserve">clicks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(sp, \(x)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(samp2, species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x))</w:t>
      </w:r>
      <w:r>
        <w:br/>
      </w:r>
      <w:r>
        <w:rPr>
          <w:rStyle w:val="CommentTok"/>
        </w:rPr>
        <w:t xml:space="preserve"># create distance matrices.</w:t>
      </w:r>
      <w:r>
        <w:br/>
      </w:r>
      <w:r>
        <w:rPr>
          <w:rStyle w:val="NormalTok"/>
        </w:rPr>
        <w:t xml:space="preserve">dist2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(clicks, \(c) 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(species, eventId))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(dist2, densityClust)</w:t>
      </w:r>
      <w:r>
        <w:br/>
      </w:r>
      <w:r>
        <w:rPr>
          <w:rStyle w:val="CommentTok"/>
        </w:rPr>
        <w:t xml:space="preserve"># Perform density clustering. Static values chosen for rho and delta.</w:t>
      </w:r>
      <w:r>
        <w:br/>
      </w:r>
      <w:r>
        <w:rPr>
          <w:rStyle w:val="CommentTok"/>
        </w:rPr>
        <w:t xml:space="preserve"># This decision does not seem to be critical, because the algorithm strongly favors a single cluster for each species.</w:t>
      </w:r>
      <w:r>
        <w:br/>
      </w:r>
      <w:r>
        <w:rPr>
          <w:rStyle w:val="NormalTok"/>
        </w:rPr>
        <w:t xml:space="preserve">cl2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(cl2, findClusters,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hyperlink w:anchor="fig-event-clusters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resulting density cluster plots and</w:t>
      </w:r>
      <w:r>
        <w:t xml:space="preserve"> </w:t>
      </w:r>
      <w:hyperlink w:anchor="fig-mds-events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plots with the points colored by event.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6" w:name="fig-event-clusters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920"/>
            </w:tblGrid>
            <w:tr>
              <w:tc>
                <w:tcPr/>
                <w:bookmarkStart w:id="37" w:name="fig-event-clusters-1"/>
                <w:p>
                  <w:pPr>
                    <w:pStyle w:val="Compact"/>
                    <w:jc w:val="center"/>
                    <w:jc w:val="center"/>
                  </w:pPr>
                  <w:r>
                    <w:drawing>
                      <wp:inline>
                        <wp:extent cx="4620126" cy="3696101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ndex_files/figure-docx/fig-event-clusters-1.png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20126" cy="3696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</w:t>
                  </w:r>
                  <w:r>
                    <w:t xml:space="preserve"> </w:t>
                  </w:r>
                  <w:r>
                    <w:rPr>
                      <w:iCs/>
                      <w:i/>
                    </w:rPr>
                    <w:t xml:space="preserve">Kogia</w:t>
                  </w:r>
                </w:p>
                <w:bookmarkEnd w:id="37"/>
              </w:tc>
            </w:tr>
          </w:tbl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920"/>
            </w:tblGrid>
            <w:tr>
              <w:tc>
                <w:tcPr/>
                <w:bookmarkStart w:id="41" w:name="fig-event-clusters-2"/>
                <w:p>
                  <w:pPr>
                    <w:pStyle w:val="Compact"/>
                    <w:jc w:val="center"/>
                    <w:jc w:val="center"/>
                  </w:pPr>
                  <w:r>
                    <w:drawing>
                      <wp:inline>
                        <wp:extent cx="4620126" cy="3696101"/>
                        <wp:effectExtent b="0" l="0" r="0" t="0"/>
                        <wp:docPr descr="" title="" id="3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ndex_files/figure-docx/fig-event-clusters-2.png" id="4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20126" cy="3696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Dall’s porpoise</w:t>
                  </w:r>
                </w:p>
                <w:bookmarkEnd w:id="41"/>
              </w:tc>
            </w:tr>
          </w:tbl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920"/>
            </w:tblGrid>
            <w:tr>
              <w:tc>
                <w:tcPr/>
                <w:bookmarkStart w:id="45" w:name="fig-event-clusters-3"/>
                <w:p>
                  <w:pPr>
                    <w:pStyle w:val="Compact"/>
                    <w:jc w:val="center"/>
                    <w:jc w:val="center"/>
                  </w:pPr>
                  <w:r>
                    <w:drawing>
                      <wp:inline>
                        <wp:extent cx="4620126" cy="3696101"/>
                        <wp:effectExtent b="0" l="0" r="0" t="0"/>
                        <wp:docPr descr="" title="" id="4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ndex_files/figure-docx/fig-event-clusters-3.png" id="4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20126" cy="3696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Harbor porpoise</w:t>
                  </w:r>
                </w:p>
                <w:bookmarkEnd w:id="45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Click clusters for each species class</w:t>
            </w:r>
          </w:p>
          <w:bookmarkEnd w:id="46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9" w:name="fig-mds-events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920"/>
            </w:tblGrid>
            <w:tr>
              <w:tc>
                <w:tcPr/>
                <w:bookmarkStart w:id="50" w:name="fig-mds-events-1"/>
                <w:p>
                  <w:pPr>
                    <w:pStyle w:val="Compact"/>
                    <w:jc w:val="center"/>
                    <w:jc w:val="center"/>
                  </w:pPr>
                  <w:r>
                    <w:drawing>
                      <wp:inline>
                        <wp:extent cx="4620126" cy="3696101"/>
                        <wp:effectExtent b="0" l="0" r="0" t="0"/>
                        <wp:docPr descr="" title="" id="4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ndex_files/figure-docx/fig-mds-events-1.png" id="4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20126" cy="3696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</w:t>
                  </w:r>
                  <w:r>
                    <w:t xml:space="preserve"> </w:t>
                  </w:r>
                  <w:r>
                    <w:rPr>
                      <w:iCs/>
                      <w:i/>
                    </w:rPr>
                    <w:t xml:space="preserve">Kogia</w:t>
                  </w:r>
                </w:p>
                <w:bookmarkEnd w:id="50"/>
              </w:tc>
            </w:tr>
          </w:tbl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920"/>
            </w:tblGrid>
            <w:tr>
              <w:tc>
                <w:tcPr/>
                <w:bookmarkStart w:id="54" w:name="fig-mds-events-2"/>
                <w:p>
                  <w:pPr>
                    <w:pStyle w:val="Compact"/>
                    <w:jc w:val="center"/>
                    <w:jc w:val="center"/>
                  </w:pPr>
                  <w:r>
                    <w:drawing>
                      <wp:inline>
                        <wp:extent cx="4620126" cy="3696101"/>
                        <wp:effectExtent b="0" l="0" r="0" t="0"/>
                        <wp:docPr descr="" title="" id="5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ndex_files/figure-docx/fig-mds-events-2.png" id="5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20126" cy="3696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Dall’s porpoise</w:t>
                  </w:r>
                </w:p>
                <w:bookmarkEnd w:id="54"/>
              </w:tc>
            </w:tr>
          </w:tbl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920"/>
            </w:tblGrid>
            <w:tr>
              <w:tc>
                <w:tcPr/>
                <w:bookmarkStart w:id="58" w:name="fig-mds-events-3"/>
                <w:p>
                  <w:pPr>
                    <w:pStyle w:val="Compact"/>
                    <w:jc w:val="center"/>
                    <w:jc w:val="center"/>
                  </w:pPr>
                  <w:r>
                    <w:drawing>
                      <wp:inline>
                        <wp:extent cx="4620126" cy="3696101"/>
                        <wp:effectExtent b="0" l="0" r="0" t="0"/>
                        <wp:docPr descr="" title="" id="56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ndex_files/figure-docx/fig-mds-events-3.png" id="57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20126" cy="3696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Harbor porpoise</w:t>
                  </w:r>
                </w:p>
                <w:bookmarkEnd w:id="58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MDS plot showing distances between clicks, colored by event. Legend is hidden due to large number of events in each species class.</w:t>
            </w:r>
          </w:p>
          <w:bookmarkEnd w:id="59"/>
        </w:tc>
      </w:tr>
    </w:tbl>
    <w:bookmarkEnd w:id="60"/>
    <w:bookmarkStart w:id="61" w:name="discussion-1"/>
    <w:p>
      <w:pPr>
        <w:pStyle w:val="Heading3"/>
      </w:pPr>
      <w:r>
        <w:t xml:space="preserve">Discussion</w:t>
      </w:r>
    </w:p>
    <w:p>
      <w:pPr>
        <w:numPr>
          <w:ilvl w:val="0"/>
          <w:numId w:val="1006"/>
        </w:numPr>
        <w:pStyle w:val="Compact"/>
      </w:pPr>
      <w:r>
        <w:t xml:space="preserve">The density clustering algorithm appears to strongly favors a single cluster in each species, suggesting that there are no outlying events.</w:t>
      </w:r>
    </w:p>
    <w:p>
      <w:pPr>
        <w:numPr>
          <w:ilvl w:val="0"/>
          <w:numId w:val="1006"/>
        </w:numPr>
        <w:pStyle w:val="Compact"/>
      </w:pPr>
      <w:r>
        <w:t xml:space="preserve">When points are colored by event, variation among events is more evident. This variation does not appear to be strong enough to manifest as more than one density-based cluster.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NBHF Clusters: Streamlined Results</dc:title>
  <dc:creator>Jackson Vanfleet-Brown</dc:creator>
  <cp:keywords/>
  <dcterms:created xsi:type="dcterms:W3CDTF">2024-02-26T20:47:53Z</dcterms:created>
  <dcterms:modified xsi:type="dcterms:W3CDTF">2024-02-26T20:47:53Z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2024-02-25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