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13A08" w14:textId="2CF59508" w:rsidR="00DD6C4E" w:rsidRDefault="00A849D2" w:rsidP="00A849D2">
      <w:r w:rsidRPr="00A849D2">
        <w:t>I. Introduction</w:t>
      </w:r>
    </w:p>
    <w:p w14:paraId="219BE7D7" w14:textId="77777777" w:rsidR="00B777AE" w:rsidRDefault="00B777AE" w:rsidP="00B777AE">
      <w:pPr>
        <w:ind w:firstLine="720"/>
      </w:pPr>
      <w:r w:rsidRPr="00B777AE">
        <w:t>近年來，</w:t>
      </w:r>
      <w:r w:rsidRPr="00B777AE">
        <w:t xml:space="preserve">NGSO/LEO constellations </w:t>
      </w:r>
      <w:r w:rsidRPr="00B777AE">
        <w:t>的快速部署，使全球性寬頻覆蓋與低延遲通訊成為可能，並被視為未來</w:t>
      </w:r>
      <w:proofErr w:type="gramStart"/>
      <w:r w:rsidRPr="00B777AE">
        <w:t>整合式非地面</w:t>
      </w:r>
      <w:proofErr w:type="gramEnd"/>
      <w:r w:rsidRPr="00B777AE">
        <w:t>網路（</w:t>
      </w:r>
      <w:r w:rsidRPr="00B777AE">
        <w:t>NTN</w:t>
      </w:r>
      <w:r w:rsidRPr="00B777AE">
        <w:t>）與</w:t>
      </w:r>
      <w:r w:rsidRPr="00B777AE">
        <w:t xml:space="preserve"> 6G </w:t>
      </w:r>
      <w:r w:rsidRPr="00B777AE">
        <w:t>架構的重要組成部分</w:t>
      </w:r>
      <w:r w:rsidRPr="00B777AE">
        <w:t xml:space="preserve"> [1]</w:t>
      </w:r>
      <w:proofErr w:type="gramStart"/>
      <w:r w:rsidRPr="00B777AE">
        <w:t>–</w:t>
      </w:r>
      <w:proofErr w:type="gramEnd"/>
      <w:r w:rsidRPr="00B777AE">
        <w:t>[3]</w:t>
      </w:r>
      <w:r w:rsidRPr="00B777AE">
        <w:t>。</w:t>
      </w:r>
      <w:proofErr w:type="gramStart"/>
      <w:r w:rsidRPr="00B777AE">
        <w:t>此外，</w:t>
      </w:r>
      <w:proofErr w:type="gramEnd"/>
      <w:r w:rsidRPr="00B777AE">
        <w:t xml:space="preserve">NGSO systems </w:t>
      </w:r>
      <w:r w:rsidRPr="00B777AE">
        <w:t>在通訊架構、資源管理以及與地面網路整合等面向，也已受到廣泛關注並有系統性的整理</w:t>
      </w:r>
      <w:r w:rsidRPr="00B777AE">
        <w:t xml:space="preserve"> [4]</w:t>
      </w:r>
      <w:r w:rsidRPr="00B777AE">
        <w:t>。在寬頻衛星通訊常用的</w:t>
      </w:r>
      <w:r w:rsidRPr="00B777AE">
        <w:t xml:space="preserve"> Ku/Ka bands </w:t>
      </w:r>
      <w:r w:rsidRPr="00B777AE">
        <w:t>中，</w:t>
      </w:r>
      <w:r w:rsidRPr="00B777AE">
        <w:t xml:space="preserve">NGSO </w:t>
      </w:r>
      <w:r w:rsidRPr="00B777AE">
        <w:t>與既有</w:t>
      </w:r>
      <w:r w:rsidRPr="00B777AE">
        <w:t xml:space="preserve"> GSO networks </w:t>
      </w:r>
      <w:r w:rsidRPr="00B777AE">
        <w:t>往往需於相同或相鄰頻段共享頻譜資源，例如</w:t>
      </w:r>
      <w:r w:rsidRPr="00B777AE">
        <w:t xml:space="preserve"> fixed-satellite service</w:t>
      </w:r>
      <w:r w:rsidRPr="00B777AE">
        <w:t>（</w:t>
      </w:r>
      <w:r w:rsidRPr="00B777AE">
        <w:t>FSS</w:t>
      </w:r>
      <w:r w:rsidRPr="00B777AE">
        <w:t>）。因此，</w:t>
      </w:r>
      <w:r w:rsidRPr="00B777AE">
        <w:t xml:space="preserve">co-channel interference </w:t>
      </w:r>
      <w:r w:rsidRPr="00B777AE">
        <w:t>成為</w:t>
      </w:r>
      <w:r w:rsidRPr="00B777AE">
        <w:t xml:space="preserve"> NGSO</w:t>
      </w:r>
      <w:proofErr w:type="gramStart"/>
      <w:r w:rsidRPr="00B777AE">
        <w:t>–</w:t>
      </w:r>
      <w:proofErr w:type="gramEnd"/>
      <w:r w:rsidRPr="00B777AE">
        <w:t xml:space="preserve">GSO coexistence </w:t>
      </w:r>
      <w:r w:rsidRPr="00B777AE">
        <w:t>中不可避免的核心挑戰。當</w:t>
      </w:r>
      <w:r w:rsidRPr="00B777AE">
        <w:t xml:space="preserve"> constellation </w:t>
      </w:r>
      <w:r w:rsidRPr="00B777AE">
        <w:t>規模擴展至數千顆衛星時，多顆衛星的</w:t>
      </w:r>
      <w:r w:rsidRPr="00B777AE">
        <w:t xml:space="preserve"> aggregated emissions </w:t>
      </w:r>
      <w:r w:rsidRPr="00B777AE">
        <w:t>可能對受保護的</w:t>
      </w:r>
      <w:r w:rsidRPr="00B777AE">
        <w:t xml:space="preserve"> GSO earth stations </w:t>
      </w:r>
      <w:r w:rsidRPr="00B777AE">
        <w:t>造成顯著干擾，且其干擾強度高度依賴衛星幾何位置，並隨時間快速變動。</w:t>
      </w:r>
    </w:p>
    <w:p w14:paraId="071DC82D" w14:textId="7E2402F3" w:rsidR="00B777AE" w:rsidRDefault="00B777AE" w:rsidP="00B777AE">
      <w:pPr>
        <w:ind w:firstLine="720"/>
      </w:pPr>
      <w:r w:rsidRPr="00B777AE">
        <w:t>為保護既有</w:t>
      </w:r>
      <w:r w:rsidRPr="00B777AE">
        <w:t xml:space="preserve"> GSO networks</w:t>
      </w:r>
      <w:r w:rsidRPr="00B777AE">
        <w:t>，</w:t>
      </w:r>
      <w:r w:rsidRPr="00B777AE">
        <w:t>International Telecommunication Union</w:t>
      </w:r>
      <w:r w:rsidRPr="00B777AE">
        <w:t>（</w:t>
      </w:r>
      <w:r w:rsidRPr="00B777AE">
        <w:t>ITU</w:t>
      </w:r>
      <w:r w:rsidRPr="00B777AE">
        <w:t>）於</w:t>
      </w:r>
      <w:r w:rsidRPr="00B777AE">
        <w:t xml:space="preserve"> Radio Regulations </w:t>
      </w:r>
      <w:r w:rsidRPr="00B777AE">
        <w:t>的</w:t>
      </w:r>
      <w:r w:rsidRPr="00B777AE">
        <w:t xml:space="preserve"> Article 22 </w:t>
      </w:r>
      <w:r w:rsidRPr="00B777AE">
        <w:t>中制定了</w:t>
      </w:r>
      <w:r w:rsidRPr="00B777AE">
        <w:t xml:space="preserve"> NGSO</w:t>
      </w:r>
      <w:proofErr w:type="gramStart"/>
      <w:r w:rsidRPr="00B777AE">
        <w:t>–</w:t>
      </w:r>
      <w:proofErr w:type="gramEnd"/>
      <w:r w:rsidRPr="00B777AE">
        <w:t xml:space="preserve">GSO </w:t>
      </w:r>
      <w:r w:rsidRPr="00B777AE">
        <w:t>共存下的干擾限制，並以</w:t>
      </w:r>
      <w:r w:rsidRPr="00B777AE">
        <w:t xml:space="preserve"> equivalent power flux-density</w:t>
      </w:r>
      <w:r w:rsidRPr="00B777AE">
        <w:t>（</w:t>
      </w:r>
      <w:r w:rsidRPr="00B777AE">
        <w:t>EPFD</w:t>
      </w:r>
      <w:r w:rsidRPr="00B777AE">
        <w:t>）等指標評估</w:t>
      </w:r>
      <w:r w:rsidRPr="00B777AE">
        <w:t xml:space="preserve"> NGSO constellations </w:t>
      </w:r>
      <w:r w:rsidRPr="00B777AE">
        <w:t>對</w:t>
      </w:r>
      <w:r w:rsidRPr="00B777AE">
        <w:t xml:space="preserve"> GSO earth stations </w:t>
      </w:r>
      <w:r w:rsidRPr="00B777AE">
        <w:t>的</w:t>
      </w:r>
      <w:r w:rsidRPr="00B777AE">
        <w:t xml:space="preserve"> aggregate interference [5]</w:t>
      </w:r>
      <w:r w:rsidRPr="00B777AE">
        <w:t>。由於</w:t>
      </w:r>
      <w:r w:rsidRPr="00B777AE">
        <w:t xml:space="preserve"> EPFD </w:t>
      </w:r>
      <w:r w:rsidRPr="00B777AE">
        <w:t>規範需要可重現且一致的干擾計算流程，</w:t>
      </w:r>
      <w:r w:rsidRPr="00B777AE">
        <w:t xml:space="preserve">ITU-R </w:t>
      </w:r>
      <w:r w:rsidRPr="00B777AE">
        <w:t>進一步提供了用於符合性檢核的功能性描述</w:t>
      </w:r>
      <w:r w:rsidRPr="00B777AE">
        <w:t xml:space="preserve"> Recommendation S.1503-3</w:t>
      </w:r>
      <w:r w:rsidRPr="00B777AE">
        <w:t>，以判定</w:t>
      </w:r>
      <w:r w:rsidRPr="00B777AE">
        <w:t xml:space="preserve"> NGSO/FSS systems </w:t>
      </w:r>
      <w:r w:rsidRPr="00B777AE">
        <w:t>是否符合</w:t>
      </w:r>
      <w:r w:rsidRPr="00B777AE">
        <w:t xml:space="preserve"> Article 22 </w:t>
      </w:r>
      <w:r w:rsidRPr="00B777AE">
        <w:t>的限制</w:t>
      </w:r>
      <w:r w:rsidRPr="00B777AE">
        <w:t xml:space="preserve"> [6]</w:t>
      </w:r>
      <w:r w:rsidRPr="00B777AE">
        <w:t>。在實際干擾分析與資源最佳化建模中，天線</w:t>
      </w:r>
      <w:proofErr w:type="gramStart"/>
      <w:r w:rsidRPr="00B777AE">
        <w:t>主瓣、旁瓣與離軸角</w:t>
      </w:r>
      <w:proofErr w:type="gramEnd"/>
      <w:r w:rsidRPr="00B777AE">
        <w:t>（</w:t>
      </w:r>
      <w:r w:rsidRPr="00B777AE">
        <w:t>off-axis angle</w:t>
      </w:r>
      <w:r w:rsidRPr="00B777AE">
        <w:t>）對</w:t>
      </w:r>
      <w:r w:rsidRPr="00B777AE">
        <w:t xml:space="preserve"> interference level </w:t>
      </w:r>
      <w:r w:rsidRPr="00B777AE">
        <w:t>具有決定性影響，因此通常採用</w:t>
      </w:r>
      <w:r w:rsidRPr="00B777AE">
        <w:t xml:space="preserve"> ITU-R </w:t>
      </w:r>
      <w:r w:rsidRPr="00B777AE">
        <w:t>所建議的輻射方向圖模型，例如</w:t>
      </w:r>
      <w:r w:rsidRPr="00B777AE">
        <w:t xml:space="preserve"> S.1528 </w:t>
      </w:r>
      <w:r w:rsidRPr="00B777AE">
        <w:t>用於</w:t>
      </w:r>
      <w:r w:rsidRPr="00B777AE">
        <w:t xml:space="preserve"> 30 GHz </w:t>
      </w:r>
      <w:r w:rsidRPr="00B777AE">
        <w:t>以下的</w:t>
      </w:r>
      <w:r w:rsidRPr="00B777AE">
        <w:t xml:space="preserve"> NGSO </w:t>
      </w:r>
      <w:r w:rsidRPr="00B777AE">
        <w:t>衛星天線方向圖</w:t>
      </w:r>
      <w:r w:rsidRPr="00B777AE">
        <w:t xml:space="preserve"> [7]</w:t>
      </w:r>
      <w:r w:rsidRPr="00B777AE">
        <w:t>，以及</w:t>
      </w:r>
      <w:r w:rsidRPr="00B777AE">
        <w:t xml:space="preserve"> S.1428-1 </w:t>
      </w:r>
      <w:r w:rsidRPr="00B777AE">
        <w:t>作為</w:t>
      </w:r>
      <w:r w:rsidRPr="00B777AE">
        <w:t xml:space="preserve"> 10.7–30 GHz </w:t>
      </w:r>
      <w:r w:rsidRPr="00B777AE">
        <w:t>頻段中</w:t>
      </w:r>
      <w:r w:rsidRPr="00B777AE">
        <w:t xml:space="preserve"> FSS earth station </w:t>
      </w:r>
      <w:r w:rsidRPr="00B777AE">
        <w:t>的參考方向圖</w:t>
      </w:r>
      <w:r w:rsidRPr="00B777AE">
        <w:t xml:space="preserve"> [8]</w:t>
      </w:r>
      <w:r w:rsidRPr="00B777AE">
        <w:t>。上述法規與建模框架，構成了</w:t>
      </w:r>
      <w:r w:rsidRPr="00B777AE">
        <w:t xml:space="preserve"> NGSO constellations </w:t>
      </w:r>
      <w:r w:rsidRPr="00B777AE">
        <w:t>在</w:t>
      </w:r>
      <w:r w:rsidRPr="00B777AE">
        <w:t xml:space="preserve"> Ka-band </w:t>
      </w:r>
      <w:proofErr w:type="gramStart"/>
      <w:r w:rsidRPr="00B777AE">
        <w:t>等頻段進行</w:t>
      </w:r>
      <w:proofErr w:type="gramEnd"/>
      <w:r w:rsidRPr="00B777AE">
        <w:t xml:space="preserve"> interference mitigation </w:t>
      </w:r>
      <w:r w:rsidRPr="00B777AE">
        <w:t>與</w:t>
      </w:r>
      <w:r w:rsidRPr="00B777AE">
        <w:t xml:space="preserve"> service provisioning </w:t>
      </w:r>
      <w:r w:rsidRPr="00B777AE">
        <w:t>時必須遵循的基本約束。</w:t>
      </w:r>
    </w:p>
    <w:p w14:paraId="6DD96816" w14:textId="7EC03F5E" w:rsidR="00B777AE" w:rsidRDefault="00B777AE" w:rsidP="00B777AE">
      <w:pPr>
        <w:ind w:firstLine="720"/>
      </w:pPr>
      <w:r w:rsidRPr="00B777AE">
        <w:t>雖然</w:t>
      </w:r>
      <w:r w:rsidRPr="00B777AE">
        <w:t xml:space="preserve"> NGSO</w:t>
      </w:r>
      <w:proofErr w:type="gramStart"/>
      <w:r w:rsidRPr="00B777AE">
        <w:t>–</w:t>
      </w:r>
      <w:proofErr w:type="gramEnd"/>
      <w:r w:rsidRPr="00B777AE">
        <w:t xml:space="preserve">GSO coexistence </w:t>
      </w:r>
      <w:r w:rsidRPr="00B777AE">
        <w:t>所面臨的</w:t>
      </w:r>
      <w:r w:rsidRPr="00B777AE">
        <w:t xml:space="preserve"> aggregate interference </w:t>
      </w:r>
      <w:r w:rsidRPr="00B777AE">
        <w:t>與</w:t>
      </w:r>
      <w:r w:rsidRPr="00B777AE">
        <w:t xml:space="preserve"> EPFD-constrained resource management </w:t>
      </w:r>
      <w:r w:rsidRPr="00B777AE">
        <w:t>問題並非</w:t>
      </w:r>
      <w:r w:rsidRPr="00B777AE">
        <w:t xml:space="preserve"> Ka-band </w:t>
      </w:r>
      <w:r w:rsidRPr="00B777AE">
        <w:t>所獨有，</w:t>
      </w:r>
      <w:r w:rsidRPr="00B777AE">
        <w:t xml:space="preserve">Article 22 </w:t>
      </w:r>
      <w:r w:rsidRPr="00B777AE">
        <w:t>的</w:t>
      </w:r>
      <w:r w:rsidRPr="00B777AE">
        <w:t xml:space="preserve"> EPFD framework </w:t>
      </w:r>
      <w:r w:rsidRPr="00B777AE">
        <w:t>實際上涵蓋多個</w:t>
      </w:r>
      <w:r w:rsidRPr="00B777AE">
        <w:t xml:space="preserve"> FSS frequency bands</w:t>
      </w:r>
      <w:r w:rsidRPr="00B777AE">
        <w:t>，顯示此類共存議題</w:t>
      </w:r>
      <w:proofErr w:type="gramStart"/>
      <w:r w:rsidRPr="00B777AE">
        <w:t>具有跨頻段</w:t>
      </w:r>
      <w:proofErr w:type="gramEnd"/>
      <w:r w:rsidRPr="00B777AE">
        <w:t>的普遍性。然而，不同頻段在</w:t>
      </w:r>
      <w:r w:rsidRPr="00B777AE">
        <w:t xml:space="preserve"> antenna characteristics</w:t>
      </w:r>
      <w:r w:rsidRPr="00B777AE">
        <w:t>、</w:t>
      </w:r>
      <w:r w:rsidRPr="00B777AE">
        <w:t>beam footprint</w:t>
      </w:r>
      <w:r w:rsidRPr="00B777AE">
        <w:t>、</w:t>
      </w:r>
      <w:r w:rsidRPr="00B777AE">
        <w:t xml:space="preserve">propagation loss </w:t>
      </w:r>
      <w:r w:rsidRPr="00B777AE">
        <w:t>以及</w:t>
      </w:r>
      <w:r w:rsidRPr="00B777AE">
        <w:t xml:space="preserve"> regulatory treatment </w:t>
      </w:r>
      <w:r w:rsidRPr="00B777AE">
        <w:t>上仍可能存在差異，因此其</w:t>
      </w:r>
      <w:r w:rsidRPr="00B777AE">
        <w:t xml:space="preserve"> interference mitigation </w:t>
      </w:r>
      <w:r w:rsidRPr="00B777AE">
        <w:t>的難度與</w:t>
      </w:r>
      <w:r w:rsidRPr="00B777AE">
        <w:t xml:space="preserve"> service continuity </w:t>
      </w:r>
      <w:r w:rsidRPr="00B777AE">
        <w:t>所受影響的程度亦未必相同。本文選擇聚焦</w:t>
      </w:r>
      <w:r w:rsidRPr="00B777AE">
        <w:t xml:space="preserve"> Ka-band</w:t>
      </w:r>
      <w:r w:rsidRPr="00B777AE">
        <w:t>，主要基於以下考量：</w:t>
      </w:r>
      <w:proofErr w:type="gramStart"/>
      <w:r w:rsidRPr="00B777AE">
        <w:t>其一，</w:t>
      </w:r>
      <w:proofErr w:type="gramEnd"/>
      <w:r w:rsidRPr="00B777AE">
        <w:t xml:space="preserve">Ka-band </w:t>
      </w:r>
      <w:r w:rsidRPr="00B777AE">
        <w:t>為近年</w:t>
      </w:r>
      <w:r w:rsidRPr="00B777AE">
        <w:t xml:space="preserve"> broadband satellite systems </w:t>
      </w:r>
      <w:r w:rsidRPr="00B777AE">
        <w:t>與</w:t>
      </w:r>
      <w:r w:rsidRPr="00B777AE">
        <w:t xml:space="preserve"> NGSO constellations </w:t>
      </w:r>
      <w:r w:rsidRPr="00B777AE">
        <w:t>的代表性工作頻段</w:t>
      </w:r>
      <w:r w:rsidR="00C86E8D">
        <w:rPr>
          <w:rFonts w:hint="eastAsia"/>
        </w:rPr>
        <w:t xml:space="preserve"> </w:t>
      </w:r>
      <w:r w:rsidR="00C86E8D" w:rsidRPr="00C86E8D">
        <w:t>[4]</w:t>
      </w:r>
      <w:r w:rsidRPr="00B777AE">
        <w:t>；</w:t>
      </w:r>
      <w:proofErr w:type="gramStart"/>
      <w:r w:rsidRPr="00B777AE">
        <w:t>其二，</w:t>
      </w:r>
      <w:proofErr w:type="gramEnd"/>
      <w:r w:rsidRPr="00B777AE">
        <w:t xml:space="preserve">Ka-band </w:t>
      </w:r>
      <w:r w:rsidRPr="00B777AE">
        <w:t>下的</w:t>
      </w:r>
      <w:r w:rsidRPr="00B777AE">
        <w:t xml:space="preserve"> NGSO</w:t>
      </w:r>
      <w:proofErr w:type="gramStart"/>
      <w:r w:rsidRPr="00B777AE">
        <w:t>–</w:t>
      </w:r>
      <w:proofErr w:type="gramEnd"/>
      <w:r w:rsidRPr="00B777AE">
        <w:t xml:space="preserve">GSO coexistence </w:t>
      </w:r>
      <w:r w:rsidRPr="00B777AE">
        <w:t>同時受到</w:t>
      </w:r>
      <w:r w:rsidRPr="00B777AE">
        <w:t xml:space="preserve"> Article 22 </w:t>
      </w:r>
      <w:r w:rsidRPr="00B777AE">
        <w:t>與</w:t>
      </w:r>
      <w:r w:rsidRPr="00B777AE">
        <w:t xml:space="preserve"> EPFD constraints </w:t>
      </w:r>
      <w:r w:rsidRPr="00B777AE">
        <w:t>的實質限制；其</w:t>
      </w:r>
      <w:proofErr w:type="gramStart"/>
      <w:r w:rsidRPr="00B777AE">
        <w:t>三</w:t>
      </w:r>
      <w:proofErr w:type="gramEnd"/>
      <w:r w:rsidRPr="00B777AE">
        <w:t>，相較於較低頻段，</w:t>
      </w:r>
      <w:r w:rsidRPr="00B777AE">
        <w:t xml:space="preserve">Ka-band </w:t>
      </w:r>
      <w:r w:rsidRPr="00B777AE">
        <w:t>對</w:t>
      </w:r>
      <w:r w:rsidRPr="00B777AE">
        <w:t xml:space="preserve"> beam control</w:t>
      </w:r>
      <w:r w:rsidRPr="00B777AE">
        <w:t>、</w:t>
      </w:r>
      <w:r w:rsidRPr="00B777AE">
        <w:t xml:space="preserve">coverage footprint </w:t>
      </w:r>
      <w:r w:rsidRPr="00B777AE">
        <w:t>與</w:t>
      </w:r>
      <w:r w:rsidRPr="00B777AE">
        <w:t xml:space="preserve"> link budget variation </w:t>
      </w:r>
      <w:r w:rsidRPr="00B777AE">
        <w:t>更為敏感，因此更適合作為觀察</w:t>
      </w:r>
      <w:r w:rsidRPr="00B777AE">
        <w:t xml:space="preserve"> interference mitigation </w:t>
      </w:r>
      <w:r w:rsidRPr="00B777AE">
        <w:t>與</w:t>
      </w:r>
      <w:r w:rsidRPr="00B777AE">
        <w:t xml:space="preserve"> service continuity trade-off </w:t>
      </w:r>
      <w:r w:rsidRPr="00B777AE">
        <w:t>的代表性場景。</w:t>
      </w:r>
    </w:p>
    <w:p w14:paraId="579D395C" w14:textId="06DC5B93" w:rsidR="00B777AE" w:rsidRDefault="00B777AE" w:rsidP="00B777AE">
      <w:pPr>
        <w:ind w:firstLine="720"/>
      </w:pPr>
      <w:proofErr w:type="gramStart"/>
      <w:r w:rsidRPr="00B777AE">
        <w:t>此外，</w:t>
      </w:r>
      <w:proofErr w:type="gramEnd"/>
      <w:r w:rsidRPr="00B777AE">
        <w:t>本文採用近似</w:t>
      </w:r>
      <w:r w:rsidRPr="00B777AE">
        <w:t xml:space="preserve"> OneWeb </w:t>
      </w:r>
      <w:r w:rsidRPr="00B777AE">
        <w:t>的</w:t>
      </w:r>
      <w:r w:rsidRPr="00B777AE">
        <w:t xml:space="preserve"> architecture </w:t>
      </w:r>
      <w:r w:rsidRPr="00B777AE">
        <w:t>作為</w:t>
      </w:r>
      <w:r w:rsidRPr="00B777AE">
        <w:t xml:space="preserve"> representative scenario</w:t>
      </w:r>
      <w:r w:rsidRPr="00B777AE">
        <w:t>，主要因其與</w:t>
      </w:r>
      <w:r w:rsidRPr="00B777AE">
        <w:t xml:space="preserve"> Ka-band broadband NGSO systems </w:t>
      </w:r>
      <w:r w:rsidRPr="00B777AE">
        <w:t>的典型</w:t>
      </w:r>
      <w:r w:rsidRPr="00B777AE">
        <w:t xml:space="preserve"> operating conditions </w:t>
      </w:r>
      <w:r w:rsidRPr="00B777AE">
        <w:t>較為一致。雖然類似的</w:t>
      </w:r>
      <w:r w:rsidRPr="00B777AE">
        <w:t xml:space="preserve"> service continuity </w:t>
      </w:r>
      <w:r w:rsidRPr="00B777AE">
        <w:t>與</w:t>
      </w:r>
      <w:r w:rsidRPr="00B777AE">
        <w:t xml:space="preserve"> satellite coordination </w:t>
      </w:r>
      <w:r w:rsidRPr="00B777AE">
        <w:t>問題在其他</w:t>
      </w:r>
      <w:r w:rsidRPr="00B777AE">
        <w:t xml:space="preserve"> LEO constellations </w:t>
      </w:r>
      <w:r w:rsidRPr="00B777AE">
        <w:t>中亦可能存在，但由於不同</w:t>
      </w:r>
      <w:r w:rsidRPr="00B777AE">
        <w:t xml:space="preserve"> systems </w:t>
      </w:r>
      <w:r w:rsidRPr="00B777AE">
        <w:t>在</w:t>
      </w:r>
      <w:r w:rsidRPr="00B777AE">
        <w:t xml:space="preserve"> frequency bands</w:t>
      </w:r>
      <w:r w:rsidRPr="00B777AE">
        <w:t>、</w:t>
      </w:r>
      <w:r w:rsidRPr="00B777AE">
        <w:t xml:space="preserve">beam architecture </w:t>
      </w:r>
      <w:r w:rsidRPr="00B777AE">
        <w:t>與</w:t>
      </w:r>
      <w:r w:rsidRPr="00B777AE">
        <w:t xml:space="preserve"> regulatory constraints </w:t>
      </w:r>
      <w:r w:rsidRPr="00B777AE">
        <w:t>上可能有所差異，因此本文結果較適合對應於</w:t>
      </w:r>
      <w:r w:rsidRPr="00B777AE">
        <w:t xml:space="preserve"> OneWeb </w:t>
      </w:r>
      <w:r w:rsidRPr="00B777AE">
        <w:t>或其他</w:t>
      </w:r>
      <w:r w:rsidRPr="00B777AE">
        <w:t xml:space="preserve"> broadband NGSO systems</w:t>
      </w:r>
      <w:r w:rsidRPr="00B777AE">
        <w:t>，而不宜直接推廣至如</w:t>
      </w:r>
      <w:r w:rsidRPr="00B777AE">
        <w:t xml:space="preserve"> Iridium </w:t>
      </w:r>
      <w:r w:rsidRPr="00B777AE">
        <w:t>等以不同頻段與服務型態為主的</w:t>
      </w:r>
      <w:r w:rsidRPr="00B777AE">
        <w:t xml:space="preserve"> constellations</w:t>
      </w:r>
      <w:r w:rsidRPr="00B777AE">
        <w:t>。</w:t>
      </w:r>
    </w:p>
    <w:p w14:paraId="6E681AB4" w14:textId="67A92572" w:rsidR="00B777AE" w:rsidRDefault="00B777AE" w:rsidP="00B777AE">
      <w:pPr>
        <w:ind w:firstLine="720"/>
      </w:pPr>
      <w:r w:rsidRPr="00B777AE">
        <w:t>然而，現行</w:t>
      </w:r>
      <w:r w:rsidRPr="00B777AE">
        <w:t xml:space="preserve"> EPFD constraints </w:t>
      </w:r>
      <w:r w:rsidRPr="00B777AE">
        <w:t>對</w:t>
      </w:r>
      <w:r w:rsidRPr="00B777AE">
        <w:t xml:space="preserve"> GSO protection </w:t>
      </w:r>
      <w:r w:rsidRPr="00B777AE">
        <w:t>採取相對嚴格的保護機制，使得</w:t>
      </w:r>
      <w:r w:rsidRPr="00B777AE">
        <w:t xml:space="preserve"> NGSO systems </w:t>
      </w:r>
      <w:r w:rsidRPr="00B777AE">
        <w:t>在滿足</w:t>
      </w:r>
      <w:r w:rsidRPr="00B777AE">
        <w:t xml:space="preserve"> regulatory compliance </w:t>
      </w:r>
      <w:r w:rsidRPr="00B777AE">
        <w:t>時，往往需要透過</w:t>
      </w:r>
      <w:r w:rsidRPr="00B777AE">
        <w:t xml:space="preserve"> power reduction</w:t>
      </w:r>
      <w:r w:rsidRPr="00B777AE">
        <w:t>、</w:t>
      </w:r>
      <w:r w:rsidRPr="00B777AE">
        <w:t>tilt/pitch adjustment</w:t>
      </w:r>
      <w:r w:rsidRPr="00B777AE">
        <w:t>、</w:t>
      </w:r>
      <w:r w:rsidRPr="00B777AE">
        <w:t xml:space="preserve">beam shutoff </w:t>
      </w:r>
      <w:r w:rsidRPr="00B777AE">
        <w:t>或空間避讓等方式來抑制干擾。此類</w:t>
      </w:r>
      <w:r w:rsidRPr="00B777AE">
        <w:t xml:space="preserve"> mitigation </w:t>
      </w:r>
      <w:r w:rsidRPr="00B777AE">
        <w:lastRenderedPageBreak/>
        <w:t xml:space="preserve">actions </w:t>
      </w:r>
      <w:r w:rsidRPr="00B777AE">
        <w:t>雖有助於降低</w:t>
      </w:r>
      <w:r w:rsidRPr="00B777AE">
        <w:t xml:space="preserve"> EPFD</w:t>
      </w:r>
      <w:r w:rsidRPr="00B777AE">
        <w:t>，卻可能同時縮小</w:t>
      </w:r>
      <w:r w:rsidRPr="00B777AE">
        <w:t xml:space="preserve"> coverage footprint</w:t>
      </w:r>
      <w:r w:rsidRPr="00B777AE">
        <w:t>，甚至在部分區域或特定時刻造成</w:t>
      </w:r>
      <w:r w:rsidRPr="00B777AE">
        <w:t xml:space="preserve"> service blind spots</w:t>
      </w:r>
      <w:r w:rsidRPr="00B777AE">
        <w:t>。因而，對於</w:t>
      </w:r>
      <w:r w:rsidRPr="00B777AE">
        <w:t xml:space="preserve"> NGSO resource management </w:t>
      </w:r>
      <w:r w:rsidRPr="00B777AE">
        <w:t>而言，核心問題不僅在於滿足</w:t>
      </w:r>
      <w:r w:rsidRPr="00B777AE">
        <w:t xml:space="preserve"> interference constraints</w:t>
      </w:r>
      <w:r w:rsidRPr="00B777AE">
        <w:t>，更在於如何在</w:t>
      </w:r>
      <w:r w:rsidRPr="00B777AE">
        <w:t xml:space="preserve"> strict EPFD limits </w:t>
      </w:r>
      <w:r w:rsidRPr="00B777AE">
        <w:t>下兼顧</w:t>
      </w:r>
      <w:r w:rsidRPr="00B777AE">
        <w:t xml:space="preserve"> service continuity </w:t>
      </w:r>
      <w:r w:rsidRPr="00B777AE">
        <w:t>與</w:t>
      </w:r>
      <w:r w:rsidRPr="00B777AE">
        <w:t xml:space="preserve"> user satisfaction</w:t>
      </w:r>
      <w:r w:rsidRPr="00B777AE">
        <w:t>。</w:t>
      </w:r>
    </w:p>
    <w:p w14:paraId="6A613EC3" w14:textId="2718A983" w:rsidR="00B777AE" w:rsidRDefault="00B777AE" w:rsidP="00B777AE">
      <w:pPr>
        <w:ind w:firstLine="720"/>
      </w:pPr>
      <w:r w:rsidRPr="00B777AE">
        <w:t>因此，</w:t>
      </w:r>
      <w:r w:rsidRPr="00B777AE">
        <w:t xml:space="preserve">NGSO resource management </w:t>
      </w:r>
      <w:r w:rsidRPr="00B777AE">
        <w:t>本質上具有多目標特性：一方面必須符合</w:t>
      </w:r>
      <w:r w:rsidRPr="00B777AE">
        <w:t xml:space="preserve"> EPFD regulatory constraints</w:t>
      </w:r>
      <w:r w:rsidRPr="00B777AE">
        <w:t>，另一方面又需最大化系統服務能力，例如</w:t>
      </w:r>
      <w:r w:rsidRPr="00B777AE">
        <w:t xml:space="preserve"> throughput</w:t>
      </w:r>
      <w:r w:rsidRPr="00B777AE">
        <w:t>、</w:t>
      </w:r>
      <w:r w:rsidRPr="00B777AE">
        <w:t xml:space="preserve">coverage </w:t>
      </w:r>
      <w:r w:rsidRPr="00B777AE">
        <w:t>與</w:t>
      </w:r>
      <w:r w:rsidRPr="00B777AE">
        <w:t xml:space="preserve"> demand satisfaction</w:t>
      </w:r>
      <w:r w:rsidRPr="00B777AE">
        <w:t>。既有研究指出，在</w:t>
      </w:r>
      <w:r w:rsidRPr="00B777AE">
        <w:t xml:space="preserve"> dense NGSO deployments </w:t>
      </w:r>
      <w:r w:rsidRPr="00B777AE">
        <w:t>下，</w:t>
      </w:r>
      <w:r w:rsidRPr="00B777AE">
        <w:t xml:space="preserve">interference risk </w:t>
      </w:r>
      <w:r w:rsidRPr="00B777AE">
        <w:t>需要被量化評估，且其</w:t>
      </w:r>
      <w:r w:rsidRPr="00B777AE">
        <w:t xml:space="preserve"> mitigation </w:t>
      </w:r>
      <w:r w:rsidRPr="00B777AE">
        <w:t>往往涉及</w:t>
      </w:r>
      <w:r w:rsidRPr="00B777AE">
        <w:t xml:space="preserve"> operator coordination </w:t>
      </w:r>
      <w:r w:rsidRPr="00B777AE">
        <w:t>與</w:t>
      </w:r>
      <w:r w:rsidRPr="00B777AE">
        <w:t xml:space="preserve"> performance trade-offs [9]</w:t>
      </w:r>
      <w:r w:rsidRPr="00B777AE">
        <w:t>。在實務上，典型的</w:t>
      </w:r>
      <w:r w:rsidRPr="00B777AE">
        <w:t xml:space="preserve"> interference mitigation </w:t>
      </w:r>
      <w:r w:rsidRPr="00B777AE">
        <w:t>手段包含</w:t>
      </w:r>
      <w:r w:rsidRPr="00B777AE">
        <w:t xml:space="preserve"> power control</w:t>
      </w:r>
      <w:r w:rsidRPr="00B777AE">
        <w:t>、</w:t>
      </w:r>
      <w:r w:rsidRPr="00B777AE">
        <w:t xml:space="preserve">tilt/pitch adjustment </w:t>
      </w:r>
      <w:r w:rsidRPr="00B777AE">
        <w:t>與空間隔離等</w:t>
      </w:r>
      <w:r w:rsidRPr="00B777AE">
        <w:t xml:space="preserve"> [10]</w:t>
      </w:r>
      <w:r w:rsidRPr="00B777AE">
        <w:t>。在</w:t>
      </w:r>
      <w:r w:rsidRPr="00B777AE">
        <w:t xml:space="preserve"> EPFD </w:t>
      </w:r>
      <w:r w:rsidRPr="00B777AE">
        <w:t>約束下，</w:t>
      </w:r>
      <w:r w:rsidRPr="00B777AE">
        <w:t xml:space="preserve">Jalali </w:t>
      </w:r>
      <w:r w:rsidRPr="00B777AE">
        <w:t>等人進一步提出於</w:t>
      </w:r>
      <w:r w:rsidRPr="00B777AE">
        <w:t xml:space="preserve"> constellation </w:t>
      </w:r>
      <w:r w:rsidRPr="00B777AE">
        <w:t>尺度聯合最佳化</w:t>
      </w:r>
      <w:r w:rsidRPr="00B777AE">
        <w:t xml:space="preserve"> transmit power </w:t>
      </w:r>
      <w:r w:rsidRPr="00B777AE">
        <w:t>與</w:t>
      </w:r>
      <w:r w:rsidRPr="00B777AE">
        <w:t xml:space="preserve"> tilt/pitch</w:t>
      </w:r>
      <w:r w:rsidRPr="00B777AE">
        <w:t>，以提升</w:t>
      </w:r>
      <w:r w:rsidRPr="00B777AE">
        <w:t xml:space="preserve"> demand satisfaction </w:t>
      </w:r>
      <w:r w:rsidRPr="00B777AE">
        <w:t>並降低</w:t>
      </w:r>
      <w:r w:rsidRPr="00B777AE">
        <w:t xml:space="preserve"> interference risk [11]</w:t>
      </w:r>
      <w:r w:rsidRPr="00B777AE">
        <w:t>。另一方面，</w:t>
      </w:r>
      <w:r w:rsidRPr="00B777AE">
        <w:t xml:space="preserve">Li </w:t>
      </w:r>
      <w:r w:rsidRPr="00B777AE">
        <w:t>等人針對</w:t>
      </w:r>
      <w:r w:rsidRPr="00B777AE">
        <w:t xml:space="preserve"> OneWeb </w:t>
      </w:r>
      <w:r w:rsidRPr="00B777AE">
        <w:t>的</w:t>
      </w:r>
      <w:r w:rsidRPr="00B777AE">
        <w:t xml:space="preserve"> progressive pitch </w:t>
      </w:r>
      <w:r w:rsidRPr="00B777AE">
        <w:t>建立模型並反推可行參數，指出該策略可在多數地區有效降低干擾，但仍可能於部分時段產生</w:t>
      </w:r>
      <w:r w:rsidRPr="00B777AE">
        <w:t xml:space="preserve"> service blind spots [12]</w:t>
      </w:r>
      <w:r w:rsidRPr="00B777AE">
        <w:t>。這些研究共同</w:t>
      </w:r>
      <w:proofErr w:type="gramStart"/>
      <w:r w:rsidRPr="00B777AE">
        <w:t>凸</w:t>
      </w:r>
      <w:proofErr w:type="gramEnd"/>
      <w:r w:rsidRPr="00B777AE">
        <w:t>顯了</w:t>
      </w:r>
      <w:r w:rsidRPr="00B777AE">
        <w:t xml:space="preserve"> interference mitigation </w:t>
      </w:r>
      <w:r w:rsidRPr="00B777AE">
        <w:t>與</w:t>
      </w:r>
      <w:r w:rsidRPr="00B777AE">
        <w:t xml:space="preserve"> service continuity </w:t>
      </w:r>
      <w:r w:rsidRPr="00B777AE">
        <w:t>之間的</w:t>
      </w:r>
      <w:r w:rsidRPr="00B777AE">
        <w:t xml:space="preserve"> trade-off</w:t>
      </w:r>
      <w:r w:rsidRPr="00B777AE">
        <w:t>：當衛星為了避免干擾而調整</w:t>
      </w:r>
      <w:r w:rsidRPr="00B777AE">
        <w:t xml:space="preserve"> pitch</w:t>
      </w:r>
      <w:r w:rsidRPr="00B777AE">
        <w:t>、降低功率，或關閉部分</w:t>
      </w:r>
      <w:r w:rsidRPr="00B777AE">
        <w:t xml:space="preserve"> beams </w:t>
      </w:r>
      <w:r w:rsidRPr="00B777AE">
        <w:t>時，其有效</w:t>
      </w:r>
      <w:r w:rsidRPr="00B777AE">
        <w:t xml:space="preserve"> coverage footprint </w:t>
      </w:r>
      <w:r w:rsidRPr="00B777AE">
        <w:t>可能縮小，進而導致使用者短暫失去覆蓋，降低整體</w:t>
      </w:r>
      <w:r w:rsidRPr="00B777AE">
        <w:t xml:space="preserve"> satisfaction </w:t>
      </w:r>
      <w:r w:rsidRPr="00B777AE">
        <w:t>與服務體驗。對於</w:t>
      </w:r>
      <w:r w:rsidRPr="00B777AE">
        <w:t xml:space="preserve"> critical satellites </w:t>
      </w:r>
      <w:r w:rsidRPr="00B777AE">
        <w:t>而言，</w:t>
      </w:r>
      <w:r w:rsidRPr="00B777AE">
        <w:t xml:space="preserve">beam footprint </w:t>
      </w:r>
      <w:r w:rsidRPr="00B777AE">
        <w:t>的縮小、偏移或變形，可能直接造成</w:t>
      </w:r>
      <w:r w:rsidRPr="00B777AE">
        <w:t xml:space="preserve"> coverage gaps</w:t>
      </w:r>
      <w:r w:rsidRPr="00B777AE">
        <w:t>；因此，僅考慮</w:t>
      </w:r>
      <w:r w:rsidRPr="00B777AE">
        <w:t xml:space="preserve"> EPFD reduction </w:t>
      </w:r>
      <w:r w:rsidRPr="00B777AE">
        <w:t>並不足以完整評估</w:t>
      </w:r>
      <w:r w:rsidRPr="00B777AE">
        <w:t xml:space="preserve"> mitigation strategy </w:t>
      </w:r>
      <w:r w:rsidRPr="00B777AE">
        <w:t>的實際系統影響，仍需同時考慮其對</w:t>
      </w:r>
      <w:r w:rsidRPr="00B777AE">
        <w:t xml:space="preserve"> seamless coverage </w:t>
      </w:r>
      <w:r w:rsidRPr="00B777AE">
        <w:t>與</w:t>
      </w:r>
      <w:r w:rsidRPr="00B777AE">
        <w:t xml:space="preserve"> relay feasibility </w:t>
      </w:r>
      <w:r w:rsidRPr="00B777AE">
        <w:t>的影響。</w:t>
      </w:r>
    </w:p>
    <w:p w14:paraId="0A2BF367" w14:textId="730DB523" w:rsidR="00B777AE" w:rsidRDefault="00B777AE" w:rsidP="00B777AE">
      <w:pPr>
        <w:ind w:firstLine="720"/>
        <w:rPr>
          <w:rFonts w:hint="eastAsia"/>
        </w:rPr>
      </w:pPr>
      <w:r w:rsidRPr="00B777AE">
        <w:t>基於上述觀察，本文聚焦於在干擾約束下維持</w:t>
      </w:r>
      <w:r w:rsidRPr="00B777AE">
        <w:t xml:space="preserve"> seamless service</w:t>
      </w:r>
      <w:r w:rsidRPr="00B777AE">
        <w:t>。相關研究已指出，對採用</w:t>
      </w:r>
      <w:r w:rsidRPr="00B777AE">
        <w:t xml:space="preserve"> progressive pitch </w:t>
      </w:r>
      <w:r w:rsidRPr="00B777AE">
        <w:t>的</w:t>
      </w:r>
      <w:r w:rsidRPr="00B777AE">
        <w:t xml:space="preserve"> LEO constellations </w:t>
      </w:r>
      <w:r w:rsidRPr="00B777AE">
        <w:t>而言，相鄰衛星覆蓋銜接區域容易產生</w:t>
      </w:r>
      <w:r w:rsidRPr="00B777AE">
        <w:t xml:space="preserve"> blind spots</w:t>
      </w:r>
      <w:r w:rsidRPr="00B777AE">
        <w:t>。本文將干擾事件中幾何條件最敏感、最可能主導</w:t>
      </w:r>
      <w:r w:rsidRPr="00B777AE">
        <w:t xml:space="preserve"> EPFD violation </w:t>
      </w:r>
      <w:r w:rsidRPr="00B777AE">
        <w:t>的衛星定義為</w:t>
      </w:r>
      <w:r w:rsidRPr="00B777AE">
        <w:t xml:space="preserve"> critical satellites</w:t>
      </w:r>
      <w:r w:rsidRPr="00B777AE">
        <w:t>，並探討當這些</w:t>
      </w:r>
      <w:r w:rsidRPr="00B777AE">
        <w:t xml:space="preserve"> critical satellites </w:t>
      </w:r>
      <w:r w:rsidRPr="00B777AE">
        <w:t>必須調整發射行為時，如何避免造成使用者</w:t>
      </w:r>
      <w:r w:rsidRPr="00B777AE">
        <w:t xml:space="preserve"> zero-coverage </w:t>
      </w:r>
      <w:r w:rsidRPr="00B777AE">
        <w:t>與</w:t>
      </w:r>
      <w:r w:rsidRPr="00B777AE">
        <w:t xml:space="preserve"> satisfaction </w:t>
      </w:r>
      <w:r w:rsidRPr="00B777AE">
        <w:t>下降。除了下行發射端的</w:t>
      </w:r>
      <w:r w:rsidRPr="00B777AE">
        <w:t xml:space="preserve"> power/tilt control </w:t>
      </w:r>
      <w:r w:rsidRPr="00B777AE">
        <w:t>外，現代巨型</w:t>
      </w:r>
      <w:r w:rsidRPr="00B777AE">
        <w:t xml:space="preserve"> constellations </w:t>
      </w:r>
      <w:r w:rsidRPr="00B777AE">
        <w:t>亦逐步導入</w:t>
      </w:r>
      <w:r w:rsidRPr="00B777AE">
        <w:t xml:space="preserve"> inter-satellite links</w:t>
      </w:r>
      <w:r w:rsidRPr="00B777AE">
        <w:t>（</w:t>
      </w:r>
      <w:r w:rsidRPr="00B777AE">
        <w:t>ISL</w:t>
      </w:r>
      <w:r w:rsidRPr="00B777AE">
        <w:t>），使星座內部具備額外的</w:t>
      </w:r>
      <w:r w:rsidRPr="00B777AE">
        <w:t xml:space="preserve"> routing </w:t>
      </w:r>
      <w:r w:rsidRPr="00B777AE">
        <w:t>與</w:t>
      </w:r>
      <w:r w:rsidRPr="00B777AE">
        <w:t xml:space="preserve"> load balancing </w:t>
      </w:r>
      <w:r w:rsidRPr="00B777AE">
        <w:t>自由度。基於此，本文提出</w:t>
      </w:r>
      <w:r w:rsidRPr="00B777AE">
        <w:t xml:space="preserve"> seamless coverage </w:t>
      </w:r>
      <w:r w:rsidRPr="00B777AE">
        <w:t>與</w:t>
      </w:r>
      <w:r w:rsidRPr="00B777AE">
        <w:t xml:space="preserve"> ISL-assisted ferrying </w:t>
      </w:r>
      <w:r w:rsidRPr="00B777AE">
        <w:t>兩項設計，以降低</w:t>
      </w:r>
      <w:r w:rsidRPr="00B777AE">
        <w:t xml:space="preserve"> interference mitigation </w:t>
      </w:r>
      <w:r w:rsidRPr="00B777AE">
        <w:t>對</w:t>
      </w:r>
      <w:r w:rsidRPr="00B777AE">
        <w:t xml:space="preserve"> service continuity </w:t>
      </w:r>
      <w:r w:rsidRPr="00B777AE">
        <w:t>的負面影響。</w:t>
      </w:r>
    </w:p>
    <w:p w14:paraId="046984DD" w14:textId="34AAB00B" w:rsidR="00A849D2" w:rsidRDefault="00A849D2" w:rsidP="00A849D2">
      <w:pPr>
        <w:pStyle w:val="a9"/>
        <w:numPr>
          <w:ilvl w:val="0"/>
          <w:numId w:val="2"/>
        </w:numPr>
      </w:pPr>
      <w:r w:rsidRPr="00A849D2">
        <w:t>Contributions</w:t>
      </w:r>
    </w:p>
    <w:p w14:paraId="65F2F4EA" w14:textId="66D8EDF6" w:rsidR="00A849D2" w:rsidRDefault="00A849D2" w:rsidP="00A849D2">
      <w:pPr>
        <w:pStyle w:val="a9"/>
        <w:ind w:left="1080"/>
      </w:pPr>
      <w:r w:rsidRPr="00A849D2">
        <w:t>本論文主要貢獻如下：</w:t>
      </w:r>
    </w:p>
    <w:p w14:paraId="7BF43CA1" w14:textId="77777777" w:rsidR="0079050E" w:rsidRDefault="0079050E" w:rsidP="00A849D2">
      <w:pPr>
        <w:pStyle w:val="a9"/>
        <w:numPr>
          <w:ilvl w:val="0"/>
          <w:numId w:val="3"/>
        </w:numPr>
      </w:pPr>
      <w:r w:rsidRPr="0079050E">
        <w:rPr>
          <w:b/>
          <w:bCs/>
        </w:rPr>
        <w:t>Seamless coverage constraint:</w:t>
      </w:r>
      <w:r w:rsidRPr="0079050E">
        <w:t xml:space="preserve"> </w:t>
      </w:r>
      <w:r w:rsidRPr="0079050E">
        <w:t>提出</w:t>
      </w:r>
      <w:r w:rsidRPr="0079050E">
        <w:t xml:space="preserve"> seamless coverage </w:t>
      </w:r>
      <w:r w:rsidRPr="0079050E">
        <w:t>設計目標，確保每位使用者在任意時間至少被一顆衛星覆蓋，避免因</w:t>
      </w:r>
      <w:r w:rsidRPr="0079050E">
        <w:t xml:space="preserve"> interference mitigation</w:t>
      </w:r>
      <w:r w:rsidRPr="0079050E">
        <w:t>（如</w:t>
      </w:r>
      <w:r w:rsidRPr="0079050E">
        <w:t xml:space="preserve"> tilt/pitch adjustment </w:t>
      </w:r>
      <w:r w:rsidRPr="0079050E">
        <w:t>或</w:t>
      </w:r>
      <w:r w:rsidRPr="0079050E">
        <w:t xml:space="preserve"> power reduction</w:t>
      </w:r>
      <w:r w:rsidRPr="0079050E">
        <w:t>）導致</w:t>
      </w:r>
      <w:r w:rsidRPr="0079050E">
        <w:t xml:space="preserve"> zero-coverage intervals</w:t>
      </w:r>
      <w:r w:rsidRPr="0079050E">
        <w:t>。</w:t>
      </w:r>
    </w:p>
    <w:p w14:paraId="1C3B2944" w14:textId="2F524501" w:rsidR="0079050E" w:rsidRDefault="0079050E" w:rsidP="00A849D2">
      <w:pPr>
        <w:pStyle w:val="a9"/>
        <w:numPr>
          <w:ilvl w:val="0"/>
          <w:numId w:val="3"/>
        </w:numPr>
      </w:pPr>
      <w:r w:rsidRPr="0079050E">
        <w:rPr>
          <w:b/>
          <w:bCs/>
        </w:rPr>
        <w:t>ISL-assisted ferrying via same-orbit north/south neighbors:</w:t>
      </w:r>
      <w:r w:rsidRPr="0079050E">
        <w:t xml:space="preserve"> </w:t>
      </w:r>
      <w:r w:rsidRPr="0079050E">
        <w:t>針對</w:t>
      </w:r>
      <w:r w:rsidRPr="0079050E">
        <w:t xml:space="preserve"> critical satellites</w:t>
      </w:r>
      <w:r w:rsidRPr="0079050E">
        <w:t>，選擇同軌道上幾何距離最近的</w:t>
      </w:r>
      <w:r w:rsidRPr="0079050E">
        <w:t xml:space="preserve"> north/south neighbors</w:t>
      </w:r>
      <w:r w:rsidRPr="0079050E">
        <w:t>，透過</w:t>
      </w:r>
      <w:r w:rsidRPr="0079050E">
        <w:t xml:space="preserve"> ISL </w:t>
      </w:r>
      <w:r w:rsidRPr="0079050E">
        <w:t>進行</w:t>
      </w:r>
      <w:r w:rsidRPr="0079050E">
        <w:t xml:space="preserve"> traffic relaying</w:t>
      </w:r>
      <w:r w:rsidRPr="0079050E">
        <w:t>，以提升</w:t>
      </w:r>
      <w:r w:rsidRPr="0079050E">
        <w:t xml:space="preserve"> service continuity </w:t>
      </w:r>
      <w:r w:rsidRPr="0079050E">
        <w:t>並維持較高的</w:t>
      </w:r>
      <w:r w:rsidRPr="0079050E">
        <w:t xml:space="preserve"> demand satisfaction</w:t>
      </w:r>
      <w:r w:rsidRPr="0079050E">
        <w:t>。</w:t>
      </w:r>
    </w:p>
    <w:p w14:paraId="2C662C56" w14:textId="77777777" w:rsidR="00C86E8D" w:rsidRDefault="00C86E8D" w:rsidP="00C86E8D">
      <w:pPr>
        <w:pStyle w:val="a9"/>
        <w:ind w:left="1800"/>
      </w:pPr>
    </w:p>
    <w:p w14:paraId="41091702" w14:textId="5E3B1E3D" w:rsidR="00A849D2" w:rsidRDefault="00A849D2" w:rsidP="00A849D2">
      <w:r w:rsidRPr="00A849D2">
        <w:t>II. Related Work</w:t>
      </w:r>
    </w:p>
    <w:p w14:paraId="4607E210" w14:textId="65EB3FD6" w:rsidR="00A849D2" w:rsidRDefault="00A849D2" w:rsidP="00A849D2">
      <w:pPr>
        <w:pStyle w:val="a9"/>
        <w:numPr>
          <w:ilvl w:val="0"/>
          <w:numId w:val="4"/>
        </w:numPr>
      </w:pPr>
      <w:r w:rsidRPr="00A849D2">
        <w:t>Interference mitigation for NGSO–GSO coexistence</w:t>
      </w:r>
    </w:p>
    <w:p w14:paraId="49734357" w14:textId="3681131B" w:rsidR="00A849D2" w:rsidRDefault="00A849D2" w:rsidP="00A849D2">
      <w:pPr>
        <w:pStyle w:val="a9"/>
        <w:ind w:firstLine="720"/>
      </w:pPr>
      <w:r w:rsidRPr="00A849D2">
        <w:lastRenderedPageBreak/>
        <w:t xml:space="preserve">NGSO–GSO coexistence </w:t>
      </w:r>
      <w:r w:rsidRPr="00A849D2">
        <w:t>下的干擾問題</w:t>
      </w:r>
      <w:r w:rsidRPr="00A849D2">
        <w:t xml:space="preserve"> </w:t>
      </w:r>
      <w:r w:rsidRPr="00A849D2">
        <w:t>已引發大量</w:t>
      </w:r>
      <w:r w:rsidRPr="00A849D2">
        <w:t xml:space="preserve"> interference analysis </w:t>
      </w:r>
      <w:r w:rsidRPr="00A849D2">
        <w:t>與</w:t>
      </w:r>
      <w:r w:rsidRPr="00A849D2">
        <w:t xml:space="preserve"> miti gation </w:t>
      </w:r>
      <w:r w:rsidRPr="00A849D2">
        <w:t>研究。常見的</w:t>
      </w:r>
      <w:r w:rsidRPr="00A849D2">
        <w:t xml:space="preserve"> spatial isolation </w:t>
      </w:r>
      <w:r w:rsidRPr="00A849D2">
        <w:t>方</w:t>
      </w:r>
      <w:r w:rsidRPr="00A849D2">
        <w:t xml:space="preserve"> </w:t>
      </w:r>
      <w:r w:rsidRPr="00A849D2">
        <w:t>法包含</w:t>
      </w:r>
      <w:r w:rsidRPr="00A849D2">
        <w:t>arc avoidance</w:t>
      </w:r>
      <w:r w:rsidRPr="00A849D2">
        <w:t>、</w:t>
      </w:r>
      <w:r w:rsidRPr="00A849D2">
        <w:t>exclusion zones</w:t>
      </w:r>
      <w:r w:rsidRPr="00A849D2">
        <w:t>，以</w:t>
      </w:r>
      <w:r w:rsidRPr="00A849D2">
        <w:t xml:space="preserve"> </w:t>
      </w:r>
      <w:r w:rsidRPr="00A849D2">
        <w:t>及</w:t>
      </w:r>
      <w:r w:rsidRPr="00A849D2">
        <w:t xml:space="preserve"> beam switching-off </w:t>
      </w:r>
      <w:r w:rsidRPr="00A849D2">
        <w:t>等作法；這些方法</w:t>
      </w:r>
      <w:r w:rsidRPr="00A849D2">
        <w:t xml:space="preserve"> </w:t>
      </w:r>
      <w:r w:rsidRPr="00A849D2">
        <w:t>雖能降低干擾，卻可能以犧牲</w:t>
      </w:r>
      <w:r w:rsidRPr="00A849D2">
        <w:t xml:space="preserve"> coverage </w:t>
      </w:r>
      <w:r w:rsidRPr="00A849D2">
        <w:t>與</w:t>
      </w:r>
      <w:r w:rsidRPr="00A849D2">
        <w:t xml:space="preserve"> service continuity </w:t>
      </w:r>
      <w:r w:rsidRPr="00A849D2">
        <w:t>為代價。較具彈性的</w:t>
      </w:r>
      <w:r w:rsidRPr="00A849D2">
        <w:t xml:space="preserve"> </w:t>
      </w:r>
      <w:r w:rsidRPr="00A849D2">
        <w:t>作法則在干擾約束下進行</w:t>
      </w:r>
      <w:r w:rsidRPr="00A849D2">
        <w:t xml:space="preserve"> resource opti mization</w:t>
      </w:r>
      <w:r w:rsidRPr="00A849D2">
        <w:t>。</w:t>
      </w:r>
      <w:r w:rsidRPr="00A849D2">
        <w:t xml:space="preserve">Jalali </w:t>
      </w:r>
      <w:r w:rsidRPr="00A849D2">
        <w:t>等人以</w:t>
      </w:r>
      <w:r w:rsidRPr="00A849D2">
        <w:t xml:space="preserve"> ITU </w:t>
      </w:r>
      <w:r w:rsidRPr="00A849D2">
        <w:t>定義的</w:t>
      </w:r>
      <w:r w:rsidRPr="00A849D2">
        <w:t xml:space="preserve"> EPFD </w:t>
      </w:r>
      <w:r w:rsidRPr="00A849D2">
        <w:t>作為</w:t>
      </w:r>
      <w:r w:rsidRPr="00A849D2">
        <w:t xml:space="preserve"> aggregate interference limit</w:t>
      </w:r>
      <w:r w:rsidRPr="00A849D2">
        <w:t>，並聯合</w:t>
      </w:r>
      <w:r w:rsidRPr="00A849D2">
        <w:t xml:space="preserve"> </w:t>
      </w:r>
      <w:r w:rsidRPr="00A849D2">
        <w:t>最佳化</w:t>
      </w:r>
      <w:r w:rsidRPr="00A849D2">
        <w:t xml:space="preserve"> constellation </w:t>
      </w:r>
      <w:r w:rsidRPr="00A849D2">
        <w:t>的</w:t>
      </w:r>
      <w:r w:rsidRPr="00A849D2">
        <w:t xml:space="preserve"> transmit power </w:t>
      </w:r>
      <w:r w:rsidRPr="00A849D2">
        <w:t>與</w:t>
      </w:r>
      <w:r w:rsidRPr="00A849D2">
        <w:t xml:space="preserve"> tilt/pitch</w:t>
      </w:r>
      <w:r w:rsidRPr="00A849D2">
        <w:t>，以在</w:t>
      </w:r>
      <w:r w:rsidRPr="00A849D2">
        <w:t xml:space="preserve"> regulatory compliance </w:t>
      </w:r>
      <w:r w:rsidRPr="00A849D2">
        <w:t>的同</w:t>
      </w:r>
      <w:r w:rsidRPr="00A849D2">
        <w:t xml:space="preserve"> </w:t>
      </w:r>
      <w:r w:rsidRPr="00A849D2">
        <w:t>時最大化</w:t>
      </w:r>
      <w:r w:rsidRPr="00A849D2">
        <w:t>demand satisfaction [11]</w:t>
      </w:r>
      <w:r w:rsidRPr="00A849D2">
        <w:t>。該工作</w:t>
      </w:r>
      <w:r w:rsidRPr="00A849D2">
        <w:t xml:space="preserve"> </w:t>
      </w:r>
      <w:r w:rsidRPr="00A849D2">
        <w:t>指出</w:t>
      </w:r>
      <w:r w:rsidRPr="00A849D2">
        <w:t xml:space="preserve">EPFD events </w:t>
      </w:r>
      <w:r w:rsidRPr="00A849D2">
        <w:t>具有顯著的地理相依性</w:t>
      </w:r>
      <w:r w:rsidRPr="00A849D2">
        <w:t xml:space="preserve"> </w:t>
      </w:r>
      <w:r w:rsidRPr="00A849D2">
        <w:t>與幾何敏感性，並可透過僅對少數</w:t>
      </w:r>
      <w:r w:rsidRPr="00A849D2">
        <w:t xml:space="preserve">critical satellites </w:t>
      </w:r>
      <w:r w:rsidRPr="00A849D2">
        <w:t>進行</w:t>
      </w:r>
      <w:r w:rsidRPr="00A849D2">
        <w:t xml:space="preserve"> tilt </w:t>
      </w:r>
      <w:r w:rsidRPr="00A849D2">
        <w:t>以降低操作複雜度。然</w:t>
      </w:r>
      <w:r w:rsidRPr="00A849D2">
        <w:t xml:space="preserve"> </w:t>
      </w:r>
      <w:proofErr w:type="gramStart"/>
      <w:r w:rsidRPr="00A849D2">
        <w:t>而</w:t>
      </w:r>
      <w:proofErr w:type="gramEnd"/>
      <w:r w:rsidRPr="00A849D2">
        <w:t>，</w:t>
      </w:r>
      <w:r w:rsidRPr="00A849D2">
        <w:t xml:space="preserve">tilt </w:t>
      </w:r>
      <w:r w:rsidRPr="00A849D2">
        <w:t>或</w:t>
      </w:r>
      <w:r w:rsidRPr="00A849D2">
        <w:t xml:space="preserve"> beam switching-off </w:t>
      </w:r>
      <w:r w:rsidRPr="00A849D2">
        <w:t>仍可能縮小</w:t>
      </w:r>
      <w:r w:rsidRPr="00A849D2">
        <w:t xml:space="preserve"> coverage footprint</w:t>
      </w:r>
      <w:r w:rsidRPr="00A849D2">
        <w:t>，進而在某些時段造成</w:t>
      </w:r>
    </w:p>
    <w:p w14:paraId="34E939F4" w14:textId="55242123" w:rsidR="00A849D2" w:rsidRDefault="00A849D2" w:rsidP="00A849D2">
      <w:pPr>
        <w:pStyle w:val="a9"/>
        <w:numPr>
          <w:ilvl w:val="0"/>
          <w:numId w:val="4"/>
        </w:numPr>
      </w:pPr>
      <w:r w:rsidRPr="00A849D2">
        <w:t>OneWeb progressive pitch and service blind spots</w:t>
      </w:r>
    </w:p>
    <w:p w14:paraId="19305460" w14:textId="77777777" w:rsidR="00A849D2" w:rsidRDefault="00A849D2" w:rsidP="00A849D2">
      <w:pPr>
        <w:pStyle w:val="a9"/>
        <w:ind w:firstLine="720"/>
      </w:pPr>
      <w:r w:rsidRPr="00A849D2">
        <w:t xml:space="preserve">OneWeb </w:t>
      </w:r>
      <w:r w:rsidRPr="00A849D2">
        <w:t>提出</w:t>
      </w:r>
      <w:r w:rsidRPr="00A849D2">
        <w:t xml:space="preserve"> progressive pitch </w:t>
      </w:r>
      <w:r w:rsidRPr="00A849D2">
        <w:t>策略以</w:t>
      </w:r>
      <w:r w:rsidRPr="00A849D2">
        <w:t xml:space="preserve"> </w:t>
      </w:r>
      <w:r w:rsidRPr="00A849D2">
        <w:t>保護</w:t>
      </w:r>
      <w:r w:rsidRPr="00A849D2">
        <w:t>GSO networks</w:t>
      </w:r>
      <w:r w:rsidRPr="00A849D2">
        <w:t>，但其具體參數與細節</w:t>
      </w:r>
      <w:r w:rsidRPr="00A849D2">
        <w:t xml:space="preserve"> </w:t>
      </w:r>
      <w:r w:rsidRPr="00A849D2">
        <w:t>並未完整公開。</w:t>
      </w:r>
      <w:r w:rsidRPr="00A849D2">
        <w:t>Li</w:t>
      </w:r>
      <w:r w:rsidRPr="00A849D2">
        <w:t>等人針對</w:t>
      </w:r>
      <w:r w:rsidRPr="00A849D2">
        <w:t xml:space="preserve">OneWeb–GSO coexistence </w:t>
      </w:r>
      <w:r w:rsidRPr="00A849D2">
        <w:t>建立數學模型，在滿足</w:t>
      </w:r>
      <w:r w:rsidRPr="00A849D2">
        <w:t xml:space="preserve"> GSO in terference protection criteria </w:t>
      </w:r>
      <w:r w:rsidRPr="00A849D2">
        <w:t>下求解</w:t>
      </w:r>
      <w:r w:rsidRPr="00A849D2">
        <w:t xml:space="preserve"> progres sive pitch parameters</w:t>
      </w:r>
      <w:r w:rsidRPr="00A849D2">
        <w:t>，並以數值模擬驗證</w:t>
      </w:r>
      <w:r w:rsidRPr="00A849D2">
        <w:t xml:space="preserve"> </w:t>
      </w:r>
      <w:r w:rsidRPr="00A849D2">
        <w:t>其</w:t>
      </w:r>
      <w:r w:rsidRPr="00A849D2">
        <w:t xml:space="preserve">interference avoidance </w:t>
      </w:r>
      <w:r w:rsidRPr="00A849D2">
        <w:t>效果</w:t>
      </w:r>
      <w:r w:rsidRPr="00A849D2">
        <w:t xml:space="preserve"> [12]</w:t>
      </w:r>
      <w:r w:rsidRPr="00A849D2">
        <w:t>。該研究</w:t>
      </w:r>
      <w:r w:rsidRPr="00A849D2">
        <w:t xml:space="preserve"> </w:t>
      </w:r>
      <w:r w:rsidRPr="00A849D2">
        <w:t>指出</w:t>
      </w:r>
      <w:r w:rsidRPr="00A849D2">
        <w:t xml:space="preserve">progressive pitch </w:t>
      </w:r>
      <w:r w:rsidRPr="00A849D2">
        <w:t>在全球多數區域具有</w:t>
      </w:r>
      <w:r w:rsidRPr="00A849D2">
        <w:t xml:space="preserve"> </w:t>
      </w:r>
      <w:r w:rsidRPr="00A849D2">
        <w:t>良好</w:t>
      </w:r>
      <w:r w:rsidRPr="00A849D2">
        <w:t xml:space="preserve"> interference avoidance </w:t>
      </w:r>
      <w:r w:rsidRPr="00A849D2">
        <w:t>能力，但在部</w:t>
      </w:r>
      <w:r w:rsidRPr="00A849D2">
        <w:t xml:space="preserve"> </w:t>
      </w:r>
      <w:r w:rsidRPr="00A849D2">
        <w:t>分時間仍可能出現</w:t>
      </w:r>
      <w:r w:rsidRPr="00A849D2">
        <w:t>service blind spots</w:t>
      </w:r>
      <w:r w:rsidRPr="00A849D2">
        <w:t>，並</w:t>
      </w:r>
      <w:r w:rsidRPr="00A849D2">
        <w:t xml:space="preserve"> </w:t>
      </w:r>
      <w:r w:rsidRPr="00A849D2">
        <w:t>分析其成因與可能的消除方式。這說明：</w:t>
      </w:r>
      <w:r w:rsidRPr="00A849D2">
        <w:t xml:space="preserve"> </w:t>
      </w:r>
      <w:r w:rsidRPr="00A849D2">
        <w:t>以</w:t>
      </w:r>
      <w:r w:rsidRPr="00A849D2">
        <w:t xml:space="preserve">pitch adjustment / beam switching-off </w:t>
      </w:r>
      <w:r w:rsidRPr="00A849D2">
        <w:t>為</w:t>
      </w:r>
      <w:r w:rsidRPr="00A849D2">
        <w:t xml:space="preserve"> </w:t>
      </w:r>
      <w:r w:rsidRPr="00A849D2">
        <w:t>主的</w:t>
      </w:r>
      <w:r w:rsidRPr="00A849D2">
        <w:t xml:space="preserve">mitigation </w:t>
      </w:r>
      <w:r w:rsidRPr="00A849D2">
        <w:t>策略，仍可能在特定幾何</w:t>
      </w:r>
      <w:r w:rsidRPr="00A849D2">
        <w:t xml:space="preserve"> </w:t>
      </w:r>
      <w:r w:rsidRPr="00A849D2">
        <w:t>條件下導致</w:t>
      </w:r>
      <w:r w:rsidRPr="00A849D2">
        <w:t xml:space="preserve">service continuity </w:t>
      </w:r>
      <w:r w:rsidRPr="00A849D2">
        <w:t>問題。</w:t>
      </w:r>
    </w:p>
    <w:p w14:paraId="141232B7" w14:textId="77777777" w:rsidR="00A849D2" w:rsidRDefault="00A849D2" w:rsidP="00A849D2">
      <w:pPr>
        <w:pStyle w:val="a9"/>
      </w:pPr>
    </w:p>
    <w:p w14:paraId="676AB67D" w14:textId="0B5ABE38" w:rsidR="00A849D2" w:rsidRDefault="00A849D2" w:rsidP="00A849D2">
      <w:pPr>
        <w:pStyle w:val="a9"/>
        <w:numPr>
          <w:ilvl w:val="0"/>
          <w:numId w:val="4"/>
        </w:numPr>
      </w:pPr>
      <w:r w:rsidRPr="00A849D2">
        <w:t>Baselines</w:t>
      </w:r>
    </w:p>
    <w:p w14:paraId="054D6813" w14:textId="7618A695" w:rsidR="00A849D2" w:rsidRDefault="00A849D2" w:rsidP="00A849D2">
      <w:pPr>
        <w:ind w:left="720" w:firstLine="720"/>
      </w:pPr>
      <w:r w:rsidRPr="00A849D2">
        <w:t>本文以兩篇文獻作為主要</w:t>
      </w:r>
      <w:r w:rsidRPr="00A849D2">
        <w:t xml:space="preserve"> base lines</w:t>
      </w:r>
      <w:r w:rsidRPr="00A849D2">
        <w:t>：（</w:t>
      </w:r>
      <w:r w:rsidRPr="00A849D2">
        <w:t>i</w:t>
      </w:r>
      <w:r w:rsidRPr="00A849D2">
        <w:t>）在</w:t>
      </w:r>
      <w:r w:rsidRPr="00A849D2">
        <w:t xml:space="preserve"> aggregate EPFD constraints </w:t>
      </w:r>
      <w:r w:rsidRPr="00A849D2">
        <w:t>下聯合最佳化</w:t>
      </w:r>
      <w:r w:rsidRPr="00A849D2">
        <w:t xml:space="preserve"> power </w:t>
      </w:r>
      <w:r w:rsidRPr="00A849D2">
        <w:t>與</w:t>
      </w:r>
      <w:r w:rsidRPr="00A849D2">
        <w:t xml:space="preserve"> tilt/pitch </w:t>
      </w:r>
      <w:r w:rsidRPr="00A849D2">
        <w:t>以提升</w:t>
      </w:r>
      <w:r w:rsidRPr="00A849D2">
        <w:t xml:space="preserve"> demand satisfaction </w:t>
      </w:r>
      <w:r w:rsidRPr="00A849D2">
        <w:t>的方法</w:t>
      </w:r>
      <w:r w:rsidRPr="00A849D2">
        <w:t xml:space="preserve"> [11]</w:t>
      </w:r>
      <w:r w:rsidRPr="00A849D2">
        <w:t>；（</w:t>
      </w:r>
      <w:r w:rsidRPr="00A849D2">
        <w:t>ii</w:t>
      </w:r>
      <w:r w:rsidRPr="00A849D2">
        <w:t>）針對</w:t>
      </w:r>
      <w:r w:rsidRPr="00A849D2">
        <w:t xml:space="preserve"> OneWeb progressive pitch </w:t>
      </w:r>
      <w:r w:rsidRPr="00A849D2">
        <w:t>之參數</w:t>
      </w:r>
      <w:proofErr w:type="gramStart"/>
      <w:r w:rsidRPr="00A849D2">
        <w:t>反推與</w:t>
      </w:r>
      <w:proofErr w:type="gramEnd"/>
      <w:r w:rsidRPr="00A849D2">
        <w:t xml:space="preserve"> in terference avoidance </w:t>
      </w:r>
      <w:r w:rsidRPr="00A849D2">
        <w:t>效果分析</w:t>
      </w:r>
      <w:r w:rsidRPr="00A849D2">
        <w:t xml:space="preserve"> [12]</w:t>
      </w:r>
      <w:r w:rsidRPr="00A849D2">
        <w:t>。本文之</w:t>
      </w:r>
      <w:r w:rsidRPr="00A849D2">
        <w:t xml:space="preserve"> </w:t>
      </w:r>
      <w:r w:rsidRPr="00A849D2">
        <w:t>方法在此基礎上進一步引入</w:t>
      </w:r>
      <w:r w:rsidRPr="00A849D2">
        <w:t xml:space="preserve">seamless cover age constraint </w:t>
      </w:r>
      <w:r w:rsidRPr="00A849D2">
        <w:t>與</w:t>
      </w:r>
      <w:r w:rsidRPr="00A849D2">
        <w:t xml:space="preserve"> ISL-assisted ferrying</w:t>
      </w:r>
      <w:r w:rsidRPr="00A849D2">
        <w:t>，以</w:t>
      </w:r>
      <w:r w:rsidRPr="00A849D2">
        <w:t xml:space="preserve"> </w:t>
      </w:r>
      <w:r w:rsidRPr="00A849D2">
        <w:t>降低</w:t>
      </w:r>
      <w:r w:rsidRPr="00A849D2">
        <w:t xml:space="preserve">mitigation </w:t>
      </w:r>
      <w:r w:rsidRPr="00A849D2">
        <w:t>造成的</w:t>
      </w:r>
      <w:r w:rsidRPr="00A849D2">
        <w:t xml:space="preserve"> service blind spots </w:t>
      </w:r>
      <w:r w:rsidRPr="00A849D2">
        <w:t>並提升整體</w:t>
      </w:r>
      <w:r w:rsidRPr="00A849D2">
        <w:t>satisfaction</w:t>
      </w:r>
      <w:r w:rsidRPr="00A849D2">
        <w:t>。</w:t>
      </w:r>
    </w:p>
    <w:p w14:paraId="01603F7A" w14:textId="77777777" w:rsidR="00A849D2" w:rsidRDefault="00A849D2" w:rsidP="00A849D2">
      <w:r>
        <w:rPr>
          <w:rFonts w:hint="eastAsia"/>
        </w:rPr>
        <w:t xml:space="preserve">        </w:t>
      </w:r>
      <w:r w:rsidRPr="00A849D2">
        <w:t>Research Gap</w:t>
      </w:r>
    </w:p>
    <w:p w14:paraId="3248B67F" w14:textId="48F2DEE2" w:rsidR="00A849D2" w:rsidRDefault="00A849D2" w:rsidP="00A849D2">
      <w:r>
        <w:tab/>
      </w:r>
      <w:r>
        <w:tab/>
      </w:r>
      <w:r w:rsidRPr="00A849D2">
        <w:t>現有</w:t>
      </w:r>
      <w:r w:rsidRPr="00A849D2">
        <w:t xml:space="preserve"> NGSO</w:t>
      </w:r>
      <w:proofErr w:type="gramStart"/>
      <w:r w:rsidRPr="00A849D2">
        <w:t>–</w:t>
      </w:r>
      <w:proofErr w:type="gramEnd"/>
      <w:r w:rsidRPr="00A849D2">
        <w:t xml:space="preserve">GSO interference mitiga tion </w:t>
      </w:r>
      <w:r w:rsidRPr="00A849D2">
        <w:t>多以滿足</w:t>
      </w:r>
      <w:r w:rsidRPr="00A849D2">
        <w:t xml:space="preserve"> EPFD constraints </w:t>
      </w:r>
      <w:r w:rsidRPr="00A849D2">
        <w:t>為主，常</w:t>
      </w:r>
      <w:r w:rsidRPr="00A849D2">
        <w:t xml:space="preserve"> </w:t>
      </w:r>
      <w:r w:rsidRPr="00A849D2">
        <w:t>透過</w:t>
      </w:r>
      <w:r w:rsidRPr="00A849D2">
        <w:t xml:space="preserve">power/tilt </w:t>
      </w:r>
      <w:r w:rsidRPr="00A849D2">
        <w:t>或</w:t>
      </w:r>
      <w:r w:rsidRPr="00A849D2">
        <w:t xml:space="preserve"> beam switching-off </w:t>
      </w:r>
      <w:r w:rsidRPr="00A849D2">
        <w:t>達成；</w:t>
      </w:r>
      <w:r w:rsidRPr="00A849D2">
        <w:t xml:space="preserve"> </w:t>
      </w:r>
      <w:r w:rsidRPr="00A849D2">
        <w:t>但這些做法可能改變</w:t>
      </w:r>
      <w:r w:rsidRPr="00A849D2">
        <w:t xml:space="preserve"> coverage footprint</w:t>
      </w:r>
      <w:r w:rsidRPr="00A849D2">
        <w:t>，</w:t>
      </w:r>
      <w:r w:rsidRPr="00A849D2">
        <w:t xml:space="preserve"> </w:t>
      </w:r>
      <w:r w:rsidRPr="00A849D2">
        <w:t>造成</w:t>
      </w:r>
      <w:r w:rsidRPr="00A849D2">
        <w:t>coverage gaps / service blind spots</w:t>
      </w:r>
      <w:r w:rsidRPr="00A849D2">
        <w:t>，降</w:t>
      </w:r>
      <w:r w:rsidRPr="00A849D2">
        <w:t xml:space="preserve"> </w:t>
      </w:r>
      <w:r w:rsidRPr="00A849D2">
        <w:t>低</w:t>
      </w:r>
      <w:r w:rsidRPr="00A849D2">
        <w:t>service continuity [11,12]</w:t>
      </w:r>
      <w:r w:rsidRPr="00A849D2">
        <w:t>。</w:t>
      </w:r>
      <w:proofErr w:type="gramStart"/>
      <w:r w:rsidRPr="00A849D2">
        <w:t>此外，</w:t>
      </w:r>
      <w:proofErr w:type="gramEnd"/>
      <w:r w:rsidRPr="00A849D2">
        <w:t xml:space="preserve">EPFD </w:t>
      </w:r>
      <w:r w:rsidRPr="00A849D2">
        <w:t>作為聚合干擾指標具有幾何相依與時間變</w:t>
      </w:r>
      <w:r w:rsidRPr="00A849D2">
        <w:t xml:space="preserve"> </w:t>
      </w:r>
      <w:r w:rsidRPr="00A849D2">
        <w:t>動特性，使得僅靠局部或靜態設計難以同</w:t>
      </w:r>
      <w:r w:rsidRPr="00A849D2">
        <w:t xml:space="preserve"> </w:t>
      </w:r>
      <w:r w:rsidRPr="00A849D2">
        <w:t>時兼顧「合</w:t>
      </w:r>
      <w:proofErr w:type="gramStart"/>
      <w:r w:rsidRPr="00A849D2">
        <w:t>規</w:t>
      </w:r>
      <w:proofErr w:type="gramEnd"/>
      <w:r w:rsidRPr="00A849D2">
        <w:t>」與「無縫覆蓋」</w:t>
      </w:r>
      <w:r w:rsidRPr="00A849D2">
        <w:t>[5,6]</w:t>
      </w:r>
      <w:r w:rsidRPr="00A849D2">
        <w:t>。因</w:t>
      </w:r>
      <w:r w:rsidRPr="00A849D2">
        <w:t xml:space="preserve"> </w:t>
      </w:r>
      <w:r w:rsidRPr="00A849D2">
        <w:t>此，本研究聚焦於在</w:t>
      </w:r>
      <w:r w:rsidRPr="00A849D2">
        <w:t xml:space="preserve"> EPFD </w:t>
      </w:r>
      <w:r w:rsidRPr="00A849D2">
        <w:t>合</w:t>
      </w:r>
      <w:proofErr w:type="gramStart"/>
      <w:r w:rsidRPr="00A849D2">
        <w:t>規</w:t>
      </w:r>
      <w:proofErr w:type="gramEnd"/>
      <w:r w:rsidRPr="00A849D2">
        <w:t>下顯式</w:t>
      </w:r>
      <w:r w:rsidRPr="00A849D2">
        <w:t xml:space="preserve"> </w:t>
      </w:r>
      <w:r w:rsidRPr="00A849D2">
        <w:t>加入</w:t>
      </w:r>
      <w:r w:rsidRPr="00A849D2">
        <w:t xml:space="preserve"> seamless coverage</w:t>
      </w:r>
      <w:r w:rsidRPr="00A849D2">
        <w:t>，並利用</w:t>
      </w:r>
      <w:r w:rsidRPr="00A849D2">
        <w:t xml:space="preserve"> ISL </w:t>
      </w:r>
      <w:r w:rsidRPr="00A849D2">
        <w:t>進行</w:t>
      </w:r>
      <w:r w:rsidRPr="00A849D2">
        <w:t xml:space="preserve"> relay/ferrying </w:t>
      </w:r>
      <w:r w:rsidRPr="00A849D2">
        <w:t>以維持較高的</w:t>
      </w:r>
      <w:r w:rsidRPr="00A849D2">
        <w:t xml:space="preserve"> user satisfac tion</w:t>
      </w:r>
      <w:r w:rs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Pr="00A849D2">
        <w:t>I</w:t>
      </w:r>
      <w:r>
        <w:rPr>
          <w:rFonts w:hint="eastAsia"/>
        </w:rPr>
        <w:t>II</w:t>
      </w:r>
      <w:r w:rsidRPr="00A849D2">
        <w:t xml:space="preserve">. </w:t>
      </w:r>
      <w:r w:rsidRPr="00C86E8D">
        <w:t>System model</w:t>
      </w:r>
      <w:r>
        <w:rPr>
          <w:rFonts w:hint="eastAsia"/>
        </w:rPr>
        <w:t xml:space="preserve"> and </w:t>
      </w:r>
      <w:r w:rsidRPr="00C86E8D">
        <w:t>Problem formulation</w:t>
      </w:r>
    </w:p>
    <w:p w14:paraId="2D66EAF6" w14:textId="77777777" w:rsidR="00C86E8D" w:rsidRDefault="00C86E8D" w:rsidP="00A849D2"/>
    <w:p w14:paraId="0172AD5D" w14:textId="77777777" w:rsidR="00A849D2" w:rsidRDefault="00A849D2" w:rsidP="00A849D2"/>
    <w:p w14:paraId="75458E0D" w14:textId="77777777" w:rsidR="00A849D2" w:rsidRDefault="00A849D2" w:rsidP="00A849D2">
      <w:r w:rsidRPr="00A849D2">
        <w:t>参考文献</w:t>
      </w:r>
      <w:r w:rsidRPr="00A849D2">
        <w:t xml:space="preserve"> </w:t>
      </w:r>
    </w:p>
    <w:p w14:paraId="3C1AE1A8" w14:textId="77777777" w:rsidR="00A849D2" w:rsidRDefault="00A849D2" w:rsidP="00A849D2">
      <w:r w:rsidRPr="00A849D2">
        <w:t xml:space="preserve">[1] M. Giordani and M. Zorzi, “Non terrestrial networks in the 6g era: Chal lenges and </w:t>
      </w:r>
      <w:r w:rsidRPr="00A849D2">
        <w:lastRenderedPageBreak/>
        <w:t xml:space="preserve">opportunities,” IEEE Net work, vol. 35, no. 2, pp. 244–251, 2021. </w:t>
      </w:r>
    </w:p>
    <w:p w14:paraId="02BE7A4F" w14:textId="77777777" w:rsidR="00A849D2" w:rsidRDefault="00A849D2" w:rsidP="00A849D2">
      <w:r w:rsidRPr="00A849D2">
        <w:t xml:space="preserve">[2] X. Lin, S. Cioni, G. Charbit, R. Chu berre, S. Hellsten, and J.-F. Boutillon, “On the path to 6g: Embracing the next wave of low earth orbit satellite ac cess,” IEEE Communications Magazine, vol. 59, no. 5, pp. 36–42, 2021. </w:t>
      </w:r>
    </w:p>
    <w:p w14:paraId="45298580" w14:textId="6E4FB422" w:rsidR="00A849D2" w:rsidRDefault="00A849D2" w:rsidP="00A849D2">
      <w:r w:rsidRPr="00A849D2">
        <w:t>[3] X. Zhu and C. Jiang, “Integrated satellite-terrestrial networks toward 6g: Architectures, applications, and chal lenges,” IEEE Internet of Things Jour nal, vol. 9, no. 1, pp. 437–461, 2022.</w:t>
      </w:r>
    </w:p>
    <w:p w14:paraId="670DA584" w14:textId="77777777" w:rsidR="00A849D2" w:rsidRDefault="00A849D2" w:rsidP="00A849D2">
      <w:r w:rsidRPr="00A849D2">
        <w:t xml:space="preserve">[4] O. B. Al-Hraishawi, H. Chaaban, S. Kisseleff, E. Lagunas, and S. Chatzinotas, “A survey on non geostationary satellite systems: The communication perspective,” IEEE Communications Surveys &amp; Tutorials, vol. 25, no. 1, pp. 101–132, 2023. </w:t>
      </w:r>
    </w:p>
    <w:p w14:paraId="6A9AAC0E" w14:textId="77777777" w:rsidR="00A849D2" w:rsidRDefault="00A849D2" w:rsidP="00A849D2">
      <w:r w:rsidRPr="00A849D2">
        <w:t xml:space="preserve">[5] ITU-R, “Radio regulations,” Inter national Telecommunication Union, Geneva, Switzerland, 2020, see Article 22 for NGSO–GSO interference limits and EPFD framework. </w:t>
      </w:r>
    </w:p>
    <w:p w14:paraId="63E27EA2" w14:textId="77777777" w:rsidR="00A849D2" w:rsidRDefault="00A849D2" w:rsidP="00A849D2">
      <w:r w:rsidRPr="00A849D2">
        <w:t>[6] ——, “Functional description to be used in developing software tools for of determining conformity non-geostationary-satellite orbit f ixed-satellite service systems or net works with limits contained in article 22 of the radio regulations,” Inter national Telecommunication Union Radiocommunication Sector (ITU-R), Geneva, Switzerland, Recommendation S.1503-3, 2018.</w:t>
      </w:r>
    </w:p>
    <w:p w14:paraId="231BE4FF" w14:textId="77777777" w:rsidR="00A849D2" w:rsidRDefault="00A849D2" w:rsidP="00A849D2">
      <w:r w:rsidRPr="00A849D2">
        <w:t xml:space="preserve"> [7] International Telecommunication Union Radiocommunication Sector (ITU-R), “Satellite antenna radiation patterns for non-geostationary orbit satellite antennas operating in the fixed satellite service below 30 ghz,” ITU-R, Geneva, Switzerland, Recommendation S.1528, 2001.</w:t>
      </w:r>
    </w:p>
    <w:p w14:paraId="05677028" w14:textId="100199AD" w:rsidR="00A849D2" w:rsidRDefault="00A849D2" w:rsidP="00A849D2">
      <w:r w:rsidRPr="00A849D2">
        <w:t xml:space="preserve"> [8] ITU-R, “Reference fss earth-station ra diation patterns for use in interference</w:t>
      </w:r>
      <w:r>
        <w:rPr>
          <w:rFonts w:hint="eastAsia"/>
        </w:rPr>
        <w:t xml:space="preserve"> </w:t>
      </w:r>
      <w:r w:rsidRPr="00A849D2">
        <w:t>assessment involving non-gso satellites in frequency bands between 10.7 ghz and 30 ghz,” ITU-R, Geneva, Switzer land, Recommendation S.1428-1, 2001.</w:t>
      </w:r>
    </w:p>
    <w:p w14:paraId="26A68B68" w14:textId="77777777" w:rsidR="00A849D2" w:rsidRDefault="00A849D2" w:rsidP="00A849D2">
      <w:r w:rsidRPr="00A849D2">
        <w:t xml:space="preserve">[9] C. Braun, A. M. Vojcic, L. Simic, and P. Mähönen, “Should we worry about interference in emerging dense ngso satellite constellations?” in Proceedings of the IEEE International Symposium on Dynamic Spectrum Access Networks (DySPAN), 2019, iEEE Xplore docu ment 8935875. </w:t>
      </w:r>
    </w:p>
    <w:p w14:paraId="73711143" w14:textId="53B01F1D" w:rsidR="00A849D2" w:rsidRDefault="00A849D2" w:rsidP="00A849D2">
      <w:r w:rsidRPr="00A849D2">
        <w:t xml:space="preserve">[10] A. Hills, J. M. Peha, and J. Munk, “Fea sibility of using beam steering to mit igate ku-band leo-to-geo interference,” IEEE Access, vol. 10, pp. 74023–74032, 2022. </w:t>
      </w:r>
    </w:p>
    <w:p w14:paraId="2CAF454A" w14:textId="5B01E9BE" w:rsidR="00A849D2" w:rsidRDefault="00A849D2" w:rsidP="00A849D2">
      <w:r w:rsidRPr="00A849D2">
        <w:t>[11] M. Jalali, F. Ortiz, E. Lagunas, S. Kisse leff, L. Emiliani, and S. Chatzinotas, “Joint power and tilt control in satellite constellation for ngso–gso interference mitigation,” IEEE Open Journal of Ve hicular Technology, 2023, early access / accepted version available via IEEE Xplore.</w:t>
      </w:r>
    </w:p>
    <w:p w14:paraId="76C8EDA9" w14:textId="54B48716" w:rsidR="00A849D2" w:rsidRPr="00A849D2" w:rsidRDefault="00A849D2" w:rsidP="00A849D2">
      <w:r w:rsidRPr="00A849D2">
        <w:t xml:space="preserve"> [12] T. Li, J. Jin, W. Li, Z. Ren, and L. Kuang, “Research on interference avoidance effect of oneweb satellite con stellation’s progressive pitch strategy,” International Journal of Satellite Com munications and Networking, pp. 1–15, 2021.</w:t>
      </w:r>
    </w:p>
    <w:sectPr w:rsidR="00A849D2" w:rsidRPr="00A849D2" w:rsidSect="00C756B7">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45700"/>
    <w:multiLevelType w:val="hybridMultilevel"/>
    <w:tmpl w:val="303495EE"/>
    <w:lvl w:ilvl="0" w:tplc="9D4843C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64AC7A0F"/>
    <w:multiLevelType w:val="hybridMultilevel"/>
    <w:tmpl w:val="39E6A1B6"/>
    <w:lvl w:ilvl="0" w:tplc="042A0015">
      <w:start w:val="1"/>
      <w:numFmt w:val="upp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720E64F9"/>
    <w:multiLevelType w:val="hybridMultilevel"/>
    <w:tmpl w:val="F606FF8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 w15:restartNumberingAfterBreak="0">
    <w:nsid w:val="7F4D7A5B"/>
    <w:multiLevelType w:val="hybridMultilevel"/>
    <w:tmpl w:val="A4B084D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8304956">
    <w:abstractNumId w:val="3"/>
  </w:num>
  <w:num w:numId="2" w16cid:durableId="1604456200">
    <w:abstractNumId w:val="0"/>
  </w:num>
  <w:num w:numId="3" w16cid:durableId="1945530531">
    <w:abstractNumId w:val="2"/>
  </w:num>
  <w:num w:numId="4" w16cid:durableId="811680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9D2"/>
    <w:rsid w:val="00120DF7"/>
    <w:rsid w:val="00250C82"/>
    <w:rsid w:val="00280ACE"/>
    <w:rsid w:val="002B6BFF"/>
    <w:rsid w:val="003F1E3C"/>
    <w:rsid w:val="00402681"/>
    <w:rsid w:val="005D786E"/>
    <w:rsid w:val="00601548"/>
    <w:rsid w:val="0079050E"/>
    <w:rsid w:val="007A40B3"/>
    <w:rsid w:val="0081017A"/>
    <w:rsid w:val="00A849D2"/>
    <w:rsid w:val="00B777AE"/>
    <w:rsid w:val="00C756B7"/>
    <w:rsid w:val="00C86E8D"/>
    <w:rsid w:val="00CF3099"/>
    <w:rsid w:val="00D10A04"/>
    <w:rsid w:val="00DD6C4E"/>
    <w:rsid w:val="00FE087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1AF3"/>
  <w15:chartTrackingRefBased/>
  <w15:docId w15:val="{AFC50922-0184-41D0-865D-7FE18B29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84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84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849D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849D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849D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849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49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49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49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849D2"/>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A849D2"/>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A849D2"/>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A849D2"/>
    <w:rPr>
      <w:rFonts w:eastAsiaTheme="majorEastAsia" w:cstheme="majorBidi"/>
      <w:i/>
      <w:iCs/>
      <w:color w:val="0F4761" w:themeColor="accent1" w:themeShade="BF"/>
    </w:rPr>
  </w:style>
  <w:style w:type="character" w:customStyle="1" w:styleId="50">
    <w:name w:val="標題 5 字元"/>
    <w:basedOn w:val="a0"/>
    <w:link w:val="5"/>
    <w:uiPriority w:val="9"/>
    <w:semiHidden/>
    <w:rsid w:val="00A849D2"/>
    <w:rPr>
      <w:rFonts w:eastAsiaTheme="majorEastAsia" w:cstheme="majorBidi"/>
      <w:color w:val="0F4761" w:themeColor="accent1" w:themeShade="BF"/>
    </w:rPr>
  </w:style>
  <w:style w:type="character" w:customStyle="1" w:styleId="60">
    <w:name w:val="標題 6 字元"/>
    <w:basedOn w:val="a0"/>
    <w:link w:val="6"/>
    <w:uiPriority w:val="9"/>
    <w:semiHidden/>
    <w:rsid w:val="00A849D2"/>
    <w:rPr>
      <w:rFonts w:eastAsiaTheme="majorEastAsia" w:cstheme="majorBidi"/>
      <w:i/>
      <w:iCs/>
      <w:color w:val="595959" w:themeColor="text1" w:themeTint="A6"/>
    </w:rPr>
  </w:style>
  <w:style w:type="character" w:customStyle="1" w:styleId="70">
    <w:name w:val="標題 7 字元"/>
    <w:basedOn w:val="a0"/>
    <w:link w:val="7"/>
    <w:uiPriority w:val="9"/>
    <w:semiHidden/>
    <w:rsid w:val="00A849D2"/>
    <w:rPr>
      <w:rFonts w:eastAsiaTheme="majorEastAsia" w:cstheme="majorBidi"/>
      <w:color w:val="595959" w:themeColor="text1" w:themeTint="A6"/>
    </w:rPr>
  </w:style>
  <w:style w:type="character" w:customStyle="1" w:styleId="80">
    <w:name w:val="標題 8 字元"/>
    <w:basedOn w:val="a0"/>
    <w:link w:val="8"/>
    <w:uiPriority w:val="9"/>
    <w:semiHidden/>
    <w:rsid w:val="00A849D2"/>
    <w:rPr>
      <w:rFonts w:eastAsiaTheme="majorEastAsia" w:cstheme="majorBidi"/>
      <w:i/>
      <w:iCs/>
      <w:color w:val="272727" w:themeColor="text1" w:themeTint="D8"/>
    </w:rPr>
  </w:style>
  <w:style w:type="character" w:customStyle="1" w:styleId="90">
    <w:name w:val="標題 9 字元"/>
    <w:basedOn w:val="a0"/>
    <w:link w:val="9"/>
    <w:uiPriority w:val="9"/>
    <w:semiHidden/>
    <w:rsid w:val="00A849D2"/>
    <w:rPr>
      <w:rFonts w:eastAsiaTheme="majorEastAsia" w:cstheme="majorBidi"/>
      <w:color w:val="272727" w:themeColor="text1" w:themeTint="D8"/>
    </w:rPr>
  </w:style>
  <w:style w:type="paragraph" w:styleId="a3">
    <w:name w:val="Title"/>
    <w:basedOn w:val="a"/>
    <w:next w:val="a"/>
    <w:link w:val="a4"/>
    <w:uiPriority w:val="10"/>
    <w:qFormat/>
    <w:rsid w:val="00A84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84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49D2"/>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A849D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849D2"/>
    <w:pPr>
      <w:spacing w:before="160"/>
      <w:jc w:val="center"/>
    </w:pPr>
    <w:rPr>
      <w:i/>
      <w:iCs/>
      <w:color w:val="404040" w:themeColor="text1" w:themeTint="BF"/>
    </w:rPr>
  </w:style>
  <w:style w:type="character" w:customStyle="1" w:styleId="a8">
    <w:name w:val="引文 字元"/>
    <w:basedOn w:val="a0"/>
    <w:link w:val="a7"/>
    <w:uiPriority w:val="29"/>
    <w:rsid w:val="00A849D2"/>
    <w:rPr>
      <w:i/>
      <w:iCs/>
      <w:color w:val="404040" w:themeColor="text1" w:themeTint="BF"/>
    </w:rPr>
  </w:style>
  <w:style w:type="paragraph" w:styleId="a9">
    <w:name w:val="List Paragraph"/>
    <w:basedOn w:val="a"/>
    <w:uiPriority w:val="34"/>
    <w:qFormat/>
    <w:rsid w:val="00A849D2"/>
    <w:pPr>
      <w:ind w:left="720"/>
      <w:contextualSpacing/>
    </w:pPr>
  </w:style>
  <w:style w:type="character" w:styleId="aa">
    <w:name w:val="Intense Emphasis"/>
    <w:basedOn w:val="a0"/>
    <w:uiPriority w:val="21"/>
    <w:qFormat/>
    <w:rsid w:val="00A849D2"/>
    <w:rPr>
      <w:i/>
      <w:iCs/>
      <w:color w:val="0F4761" w:themeColor="accent1" w:themeShade="BF"/>
    </w:rPr>
  </w:style>
  <w:style w:type="paragraph" w:styleId="ab">
    <w:name w:val="Intense Quote"/>
    <w:basedOn w:val="a"/>
    <w:next w:val="a"/>
    <w:link w:val="ac"/>
    <w:uiPriority w:val="30"/>
    <w:qFormat/>
    <w:rsid w:val="00A84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849D2"/>
    <w:rPr>
      <w:i/>
      <w:iCs/>
      <w:color w:val="0F4761" w:themeColor="accent1" w:themeShade="BF"/>
    </w:rPr>
  </w:style>
  <w:style w:type="character" w:styleId="ad">
    <w:name w:val="Intense Reference"/>
    <w:basedOn w:val="a0"/>
    <w:uiPriority w:val="32"/>
    <w:qFormat/>
    <w:rsid w:val="00A84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8437</TotalTime>
  <Pages>4</Pages>
  <Words>1362</Words>
  <Characters>7766</Characters>
  <Application>Microsoft Office Word</Application>
  <DocSecurity>0</DocSecurity>
  <Lines>64</Lines>
  <Paragraphs>18</Paragraphs>
  <ScaleCrop>false</ScaleCrop>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胡嘉祐 (113522011)</dc:creator>
  <cp:keywords/>
  <dc:description/>
  <cp:lastModifiedBy>胡嘉祐 (113522011)</cp:lastModifiedBy>
  <cp:revision>2</cp:revision>
  <dcterms:created xsi:type="dcterms:W3CDTF">2026-03-10T05:42:00Z</dcterms:created>
  <dcterms:modified xsi:type="dcterms:W3CDTF">2026-03-17T06:49:00Z</dcterms:modified>
</cp:coreProperties>
</file>