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Collections Strategy by Arrears Bucket</w:t>
      </w:r>
    </w:p>
    <w:p>
      <w:r>
        <w:rPr>
          <w:b/>
        </w:rPr>
        <w:t>Doc ID: COL-001 | Version: 1.0 | Effective: 2026-01-01 | Access: INTERNAL</w:t>
      </w:r>
    </w:p>
    <w:p>
      <w:r>
        <w:t>This document outlines the standard collections strategy across progressive arrears buckets for AEON Credit Service (M) Berhad, specifying contact frequencies, communication channels, legal escalations, and write-off criteria across credit cards, Personal Financing-i, Motorcycle and Auto Hire Purchase-i, and Product Financing.</w:t>
      </w:r>
    </w:p>
    <w:p>
      <w:pPr>
        <w:pStyle w:val="Heading2"/>
      </w:pPr>
      <w:r>
        <w:t>1.0 — Purpose and Governance Framework</w:t>
      </w:r>
    </w:p>
    <w:p>
      <w:r>
        <w:t>This Collections Strategy document sets out the operational procedures, communication governance, and recovery workflows across successive delinquency buckets for AEON Credit Service (M) Berhad ('the Company'). It applies across all consumer financing products, including AEON Classic Visa, AEON Gold Visa, and AEON Platinum Visa credit cards, Personal Financing-i (Tawarruq), Motorcycle Hire Purchase-i, Auto Hire Purchase-i, and Product (Objective) Financing. All debt recovery practices must adhere strictly to Bank Negara Malaysia (BNM) Guidelines on Fair Debt Collection Practices, relevant consumer credit legislation, and internal credit policies.</w:t>
      </w:r>
    </w:p>
    <w:p>
      <w:pPr>
        <w:pStyle w:val="Heading2"/>
      </w:pPr>
      <w:r>
        <w:t>2.0 — Bucket 1: Early Arrears (1 to 30 Days Past Due)</w:t>
      </w:r>
    </w:p>
    <w:p>
      <w:r>
        <w:t>Bucket 1 focuses on automated, low-friction payment reminders aimed at curing administrative oversights and short-term cash flow misalignments. Communication channels include automated Short Message Service (SMS), WhatsApp business messaging, email notifications, and automated interactive voice responses. Outreach is capped at a maximum of two contact attempts per week. Accounts rolling past the payment due date lose any applicable 15% per annum prompt-payer finance charge tier on credit cards and revert to the standard 17% per annum rate.</w:t>
      </w:r>
    </w:p>
    <w:p>
      <w:pPr>
        <w:pStyle w:val="Heading2"/>
      </w:pPr>
      <w:r>
        <w:t>3.0 — Bucket 2: Mid Arrears (31 to 60 Days Past Due)</w:t>
      </w:r>
    </w:p>
    <w:p>
      <w:r>
        <w:t>Accounts entering Bucket 2 are routed to internal outbound tele-collection officers to determine root causes of non-payment and secure binding Promises to Pay (PTP). Outbound calls are permitted up to three attempts per week between 08:30 and 19:00 hours on working days. Unsecured credit facilities, including credit card lines and revolving facilities, are subjected to temporary charging suspensions. Officers are empowered to offer short-term instalment arrangements where temporary cash impairment is verified.</w:t>
      </w:r>
    </w:p>
    <w:p>
      <w:pPr>
        <w:pStyle w:val="Heading2"/>
      </w:pPr>
      <w:r>
        <w:t>4.0 — Bucket 3: Serious Arrears (61 to 90 Days Past Due)</w:t>
      </w:r>
    </w:p>
    <w:p>
      <w:r>
        <w:t>Bucket 3 triggers intensified recovery actions and formal regulatory notifications. Under internal credit policy, any customer with a facility currently two or more months in arrears is classified as an immediate systemic decline for any new financing applications. Credit card accounts with two or more late payments over the preceding 12 months are escalated to the maximum finance charge of 18% per annum. For Motorcycle and Auto Hire Purchase-i accounts, statutory notices under the Fourth Schedule of the Hire-Purchase Act 1967 (Notice of Intention to Repossess) are generated upon reaching the statutory default threshold. Total outbound contact attempts shall not exceed four attempts per week, complemented by field visits where telecommunication contact fails.</w:t>
      </w:r>
    </w:p>
    <w:p>
      <w:pPr>
        <w:pStyle w:val="Heading2"/>
      </w:pPr>
      <w:r>
        <w:t>5.0 — Bucket 4: Pre-Default and Repossession (91 to 180 Days Past Due)</w:t>
      </w:r>
    </w:p>
    <w:p>
      <w:r>
        <w:t>Accounts exceeding 90 Days Past Due are classified as impaired (Stage 3) under Malaysian Financial Reporting Standards (MFRS) 9. Facilities are assigned to specialized recovery teams or outsourced to panel legal firms for issuance of formal Letters of Demand (LOD). For Auto HP-i and Motorcycle HP-i agreements, physical repossession orders are executed by registered repossession agents in strict compliance with statutory guidelines. Contact frequency is maintained at up to three structured touchpoints per week. Customers demonstrating distress may be guided to the Agensi Kaunseling dan Pengurusan Kredit (AKPK) for Debt Management Programme (DMP) intervention prior to litigation.</w:t>
      </w:r>
    </w:p>
    <w:p>
      <w:pPr>
        <w:pStyle w:val="Heading2"/>
      </w:pPr>
      <w:r>
        <w:t>6.0 — Bucket 5: Write-Off Thresholds and Post-Write-Off Recovery (181+ Days Past Due)</w:t>
      </w:r>
    </w:p>
    <w:p>
      <w:r>
        <w:t>Facilities reaching 180 Days Past Due without an active repayment plan or formalized rescheduling agreement are automatically reviewed for accounting charge-off and write-off. Write-off does not extinguish the legal debt. Post-write-off recovery includes engagement of vetted external Debt Collection Agencies (DCAs), legal summons, Judgment Debtor Summons (JDS), and initiation of bankruptcy proceedings where total unsecured indebtedness fulfills legal thresholds. An active AKPK flag, bankruptcy petition, or legal judgment results in permanent negative CTOS indicators and absolute decline for any future financing with the Company.</w:t>
      </w:r>
    </w:p>
    <w:p>
      <w:pPr>
        <w:pStyle w:val="Heading2"/>
      </w:pPr>
      <w:r>
        <w:t>7.0 — Debt Relief and Restructuring Protocols</w:t>
      </w:r>
    </w:p>
    <w:p>
      <w:r>
        <w:t>Borrowers experiencing persistent financial distress may request facility restructuring or enroll into an AKPK Debt Management Programme (DMP). Upon formal notification of DMP participation from AKPK, all direct collection communications, legal enforcement, and repossession procedures are stayed immediately. Customers with an active AKPK DMP remain ineligible for any new unsecured credit facilities with the Company. Internal restructuring for Personal Financing-i allows tenure extension up to maximum allowable policy limits, subject to NDI floor verification.</w:t>
      </w:r>
    </w:p>
    <w:p>
      <w:pPr>
        <w:pStyle w:val="Heading2"/>
      </w:pPr>
      <w:r>
        <w:t>8.0 — Collections Complaints and Dispute Resolution</w:t>
      </w:r>
    </w:p>
    <w:p>
      <w:r>
        <w:t>Any customer dispute or complaint regarding collections behavior, billing discrepancies, or harassment must be lodged through the dedicated Customer Care Complaints Unit. The Company shall acknowledge receipt of complaints within two (2) business days and provide a comprehensive resolution within fourteen (14) calendar days. If a dispute cannot be resolved satisfactorily within this statutory period, the customer shall be formally advised of their right to escalate the matter to the Ombudsman for Financial Services (OFS) or Bank Negara Malaysia LINK.</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Bucket Name</w:t>
            </w:r>
          </w:p>
        </w:tc>
        <w:tc>
          <w:tcPr>
            <w:tcW w:type="dxa" w:w="1440"/>
          </w:tcPr>
          <w:p>
            <w:r>
              <w:t>Days Past Due (DPD)</w:t>
            </w:r>
          </w:p>
        </w:tc>
        <w:tc>
          <w:tcPr>
            <w:tcW w:type="dxa" w:w="1440"/>
          </w:tcPr>
          <w:p>
            <w:r>
              <w:t>Primary Contact Channels</w:t>
            </w:r>
          </w:p>
        </w:tc>
        <w:tc>
          <w:tcPr>
            <w:tcW w:type="dxa" w:w="1440"/>
          </w:tcPr>
          <w:p>
            <w:r>
              <w:t>Maximum Contact Frequency</w:t>
            </w:r>
          </w:p>
        </w:tc>
        <w:tc>
          <w:tcPr>
            <w:tcW w:type="dxa" w:w="1440"/>
          </w:tcPr>
          <w:p>
            <w:r>
              <w:t>Escalation and Remedial Triggers</w:t>
            </w:r>
          </w:p>
        </w:tc>
        <w:tc>
          <w:tcPr>
            <w:tcW w:type="dxa" w:w="1440"/>
          </w:tcPr>
          <w:p>
            <w:r>
              <w:t>Account Impact and Pricing</w:t>
            </w:r>
          </w:p>
        </w:tc>
      </w:tr>
      <w:tr>
        <w:tc>
          <w:tcPr>
            <w:tcW w:type="dxa" w:w="1440"/>
          </w:tcPr>
          <w:p>
            <w:r>
              <w:t>Bucket 1 (Early)</w:t>
            </w:r>
          </w:p>
        </w:tc>
        <w:tc>
          <w:tcPr>
            <w:tcW w:type="dxa" w:w="1440"/>
          </w:tcPr>
          <w:p>
            <w:r>
              <w:t>1 - 30 DPD</w:t>
            </w:r>
          </w:p>
        </w:tc>
        <w:tc>
          <w:tcPr>
            <w:tcW w:type="dxa" w:w="1440"/>
          </w:tcPr>
          <w:p>
            <w:r>
              <w:t>Automated SMS, WhatsApp, Email, Voice Broadcast</w:t>
            </w:r>
          </w:p>
        </w:tc>
        <w:tc>
          <w:tcPr>
            <w:tcW w:type="dxa" w:w="1440"/>
          </w:tcPr>
          <w:p>
            <w:r>
              <w:t>2 attempts per week</w:t>
            </w:r>
          </w:p>
        </w:tc>
        <w:tc>
          <w:tcPr>
            <w:tcW w:type="dxa" w:w="1440"/>
          </w:tcPr>
          <w:p>
            <w:r>
              <w:t>Soft payment reminders; digital self-service payment links</w:t>
            </w:r>
          </w:p>
        </w:tc>
        <w:tc>
          <w:tcPr>
            <w:tcW w:type="dxa" w:w="1440"/>
          </w:tcPr>
          <w:p>
            <w:r>
              <w:t>Prompt-payer 15% p.a. credit card rate lapses to 17% p.a.</w:t>
            </w:r>
          </w:p>
        </w:tc>
      </w:tr>
      <w:tr>
        <w:tc>
          <w:tcPr>
            <w:tcW w:type="dxa" w:w="1440"/>
          </w:tcPr>
          <w:p>
            <w:r>
              <w:t>Bucket 2 (Mid)</w:t>
            </w:r>
          </w:p>
        </w:tc>
        <w:tc>
          <w:tcPr>
            <w:tcW w:type="dxa" w:w="1440"/>
          </w:tcPr>
          <w:p>
            <w:r>
              <w:t>31 - 60 DPD</w:t>
            </w:r>
          </w:p>
        </w:tc>
        <w:tc>
          <w:tcPr>
            <w:tcW w:type="dxa" w:w="1440"/>
          </w:tcPr>
          <w:p>
            <w:r>
              <w:t>Tele-collection calls, Registered SMS, Demand Letter 1</w:t>
            </w:r>
          </w:p>
        </w:tc>
        <w:tc>
          <w:tcPr>
            <w:tcW w:type="dxa" w:w="1440"/>
          </w:tcPr>
          <w:p>
            <w:r>
              <w:t>3 attempts per week</w:t>
            </w:r>
          </w:p>
        </w:tc>
        <w:tc>
          <w:tcPr>
            <w:tcW w:type="dxa" w:w="1440"/>
          </w:tcPr>
          <w:p>
            <w:r>
              <w:t>Verbal Promise to Pay (PTP); hardship assessment</w:t>
            </w:r>
          </w:p>
        </w:tc>
        <w:tc>
          <w:tcPr>
            <w:tcW w:type="dxa" w:w="1440"/>
          </w:tcPr>
          <w:p>
            <w:r>
              <w:t>Temporary suspension of credit card and revolving lines</w:t>
            </w:r>
          </w:p>
        </w:tc>
      </w:tr>
      <w:tr>
        <w:tc>
          <w:tcPr>
            <w:tcW w:type="dxa" w:w="1440"/>
          </w:tcPr>
          <w:p>
            <w:r>
              <w:t>Bucket 3 (Late)</w:t>
            </w:r>
          </w:p>
        </w:tc>
        <w:tc>
          <w:tcPr>
            <w:tcW w:type="dxa" w:w="1440"/>
          </w:tcPr>
          <w:p>
            <w:r>
              <w:t>61 - 90 DPD</w:t>
            </w:r>
          </w:p>
        </w:tc>
        <w:tc>
          <w:tcPr>
            <w:tcW w:type="dxa" w:w="1440"/>
          </w:tcPr>
          <w:p>
            <w:r>
              <w:t>Field visits, Outbound Telephony, Statutory Notices</w:t>
            </w:r>
          </w:p>
        </w:tc>
        <w:tc>
          <w:tcPr>
            <w:tcW w:type="dxa" w:w="1440"/>
          </w:tcPr>
          <w:p>
            <w:r>
              <w:t>4 attempts per week</w:t>
            </w:r>
          </w:p>
        </w:tc>
        <w:tc>
          <w:tcPr>
            <w:tcW w:type="dxa" w:w="1440"/>
          </w:tcPr>
          <w:p>
            <w:r>
              <w:t>HP-i 4th Schedule Notice issued; credit freeze</w:t>
            </w:r>
          </w:p>
        </w:tc>
        <w:tc>
          <w:tcPr>
            <w:tcW w:type="dxa" w:w="1440"/>
          </w:tcPr>
          <w:p>
            <w:r>
              <w:t>Systemic decline on new credit; card rate raised to 18% p.a.</w:t>
            </w:r>
          </w:p>
        </w:tc>
      </w:tr>
      <w:tr>
        <w:tc>
          <w:tcPr>
            <w:tcW w:type="dxa" w:w="1440"/>
          </w:tcPr>
          <w:p>
            <w:r>
              <w:t>Bucket 4 (Impaired)</w:t>
            </w:r>
          </w:p>
        </w:tc>
        <w:tc>
          <w:tcPr>
            <w:tcW w:type="dxa" w:w="1440"/>
          </w:tcPr>
          <w:p>
            <w:r>
              <w:t>91 - 180 DPD</w:t>
            </w:r>
          </w:p>
        </w:tc>
        <w:tc>
          <w:tcPr>
            <w:tcW w:type="dxa" w:w="1440"/>
          </w:tcPr>
          <w:p>
            <w:r>
              <w:t>Legal Letter of Demand, Repossession Officers, Field Visits</w:t>
            </w:r>
          </w:p>
        </w:tc>
        <w:tc>
          <w:tcPr>
            <w:tcW w:type="dxa" w:w="1440"/>
          </w:tcPr>
          <w:p>
            <w:r>
              <w:t>3 attempts per week</w:t>
            </w:r>
          </w:p>
        </w:tc>
        <w:tc>
          <w:tcPr>
            <w:tcW w:type="dxa" w:w="1440"/>
          </w:tcPr>
          <w:p>
            <w:r>
              <w:t>Physical repossession of HP-i asset; referral to AKPK DMP</w:t>
            </w:r>
          </w:p>
        </w:tc>
        <w:tc>
          <w:tcPr>
            <w:tcW w:type="dxa" w:w="1440"/>
          </w:tcPr>
          <w:p>
            <w:r>
              <w:t>MFRS 9 Stage 3 classification; negative CTOS default record</w:t>
            </w:r>
          </w:p>
        </w:tc>
      </w:tr>
      <w:tr>
        <w:tc>
          <w:tcPr>
            <w:tcW w:type="dxa" w:w="1440"/>
          </w:tcPr>
          <w:p>
            <w:r>
              <w:t>Bucket 5 (Write-Off)</w:t>
            </w:r>
          </w:p>
        </w:tc>
        <w:tc>
          <w:tcPr>
            <w:tcW w:type="dxa" w:w="1440"/>
          </w:tcPr>
          <w:p>
            <w:r>
              <w:t>181+ DPD</w:t>
            </w:r>
          </w:p>
        </w:tc>
        <w:tc>
          <w:tcPr>
            <w:tcW w:type="dxa" w:w="1440"/>
          </w:tcPr>
          <w:p>
            <w:r>
              <w:t>Panel External Debt Collection Agencies, Legal Counsel</w:t>
            </w:r>
          </w:p>
        </w:tc>
        <w:tc>
          <w:tcPr>
            <w:tcW w:type="dxa" w:w="1440"/>
          </w:tcPr>
          <w:p>
            <w:r>
              <w:t>Governed by BNM DCA Guidelines</w:t>
            </w:r>
          </w:p>
        </w:tc>
        <w:tc>
          <w:tcPr>
            <w:tcW w:type="dxa" w:w="1440"/>
          </w:tcPr>
          <w:p>
            <w:r>
              <w:t>Charge-off; civil litigation; bankruptcy; asset auction</w:t>
            </w:r>
          </w:p>
        </w:tc>
        <w:tc>
          <w:tcPr>
            <w:tcW w:type="dxa" w:w="1440"/>
          </w:tcPr>
          <w:p>
            <w:r>
              <w:t>Full balance write-off; permanent decline on all facilities</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Illustrative document for workshop use. Not an AEON Credit policy. | COL-001 v1.0 (2026-01-01)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Illustrative document for workshop use. Not an AEON Credit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