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Collections Call Script and AKPK Referral</w:t>
      </w:r>
    </w:p>
    <w:p>
      <w:r>
        <w:rPr>
          <w:b/>
        </w:rPr>
        <w:t>Doc ID: COL-002 | Version: 1.0 | Effective: 2026-01-01 | Access: INTERNAL</w:t>
      </w:r>
    </w:p>
    <w:p>
      <w:r>
        <w:t>This document (COL-002 v1.0) outlines the standard collections call script, prohibited recovery practices, escalation paths, and operational guidelines for Agensi Kaunseling dan Pengurusan Kredit (AKPK) Debt Management Programme (DMP) referrals at AEON Credit Service (M) Berhad, aligned with Credit Policy v2 effective 2026-01-01.</w:t>
      </w:r>
    </w:p>
    <w:p>
      <w:pPr>
        <w:pStyle w:val="Heading2"/>
      </w:pPr>
      <w:r>
        <w:t>COL-002-1.0 — Purpose and Governance Scope</w:t>
      </w:r>
    </w:p>
    <w:p>
      <w:r>
        <w:t>This standard operating procedure governs all outbound and inbound debt recovery communications conducted by internal collections personnel and outsourced recovery agencies representing AEON Credit Service (M) Berhad. Under Credit Policy v2 (effective 2026-01-01), recovery efforts must maintain ethical recovery practices, uphold fair debt collection standards, and provide eligible distressed borrowers with structured referral mechanisms to Agensi Kaunseling dan Pengurusan Kredit (AKPK).</w:t>
      </w:r>
    </w:p>
    <w:p>
      <w:pPr>
        <w:pStyle w:val="Heading2"/>
      </w:pPr>
      <w:r>
        <w:t>COL-002-2.0 — Customer Verification and Standard Call Opening</w:t>
      </w:r>
    </w:p>
    <w:p>
      <w:r>
        <w:t>Recovery agents must strictly verify debtor identity before disclosing overdue account details, confirming at minimum full legal name, NRIC number, and registered residential address. The mandatory opening script is: 'Good morning/afternoon, my name is [Agent Name] calling from AEON Credit Service (M) Berhad on a recorded line. Am I speaking with [Customer Full Name]? I am contacting you regarding your [Product Name: Personal Financing-i / Auto HP-i / Motorcycle HP-i / Credit Card] account ending in [Last 4 Digits], which currently reflects an overdue balance of [Overdue Amount].'</w:t>
      </w:r>
    </w:p>
    <w:p>
      <w:pPr>
        <w:pStyle w:val="Heading2"/>
      </w:pPr>
      <w:r>
        <w:t>COL-002-3.0 — Negotiation and Payment Resolution Script</w:t>
      </w:r>
    </w:p>
    <w:p>
      <w:r>
        <w:t>Agents must establish the root cause of delinquency and propose structured settlement paths. Where the borrower experiences temporary liquidity constraints, the agent may negotiate immediate settlement of minimum arrears or short-term relief plans in line with policy thresholds. Agents must state: 'We understand your circumstances and wish to assist you in regularising your facility to avoid legal escalation or adverse credit reporting on your CTOS and CCRIS records. Can you commit to an immediate payment of [Amount] by [Date] via AEON branches, online banking, or MEPS?'</w:t>
      </w:r>
    </w:p>
    <w:p>
      <w:pPr>
        <w:pStyle w:val="Heading2"/>
      </w:pPr>
      <w:r>
        <w:t>COL-002-4.0 — Prohibited Collection Practices and Conduct Rules</w:t>
      </w:r>
    </w:p>
    <w:p>
      <w:r>
        <w:t>Agents are strictly prohibited from engaging in abusive, misleading, or harassing recovery actions. Violations include: (a) contacting debtors before 08:00 or after 21:00; (b) contacting non-borrower third parties, employers, or family members except purely to ascertain debtor contact details; (c) communicating through threat of physical violence, public shaming, or offensive language; (d) misrepresenting legal proceedings, police involvement, or bankruptcy status; and (e) exceeding three telephone contacts per day. Non-compliance results in immediate disciplinary review and vendor termination.</w:t>
      </w:r>
    </w:p>
    <w:p>
      <w:pPr>
        <w:pStyle w:val="Heading2"/>
      </w:pPr>
      <w:r>
        <w:t>COL-002-5.0 — AKPK Referral Criteria and Credit Policy Alignment</w:t>
      </w:r>
    </w:p>
    <w:p>
      <w:r>
        <w:t>When a customer discloses severe, chronic debt distress across multiple credit facilities or fails internal rescheduling affordability assessments, the agent must initiate an AKPK referral. Under Credit Policy v2, any customer enrolled in an active AKPK Debt Management Programme (DMP) is flagged in CTOS/CCRIS and is absolutely not eligible for any new unsecured credit facility, while any facility currently 2 or more months in arrears results in credit facility decline. Agents must explain that AKPK provides independent, free debt restructuring before adverse legal action ensues.</w:t>
      </w:r>
    </w:p>
    <w:p>
      <w:pPr>
        <w:pStyle w:val="Heading2"/>
      </w:pPr>
      <w:r>
        <w:t>COL-002-6.0 — Mandatory AKPK Referral Scripting</w:t>
      </w:r>
    </w:p>
    <w:p>
      <w:r>
        <w:t>When referring a distressed borrower to AKPK, agents must recite: 'Mr./Ms. [Customer Name], as you are facing significant financial difficulties managing multiple commitments, AEON Credit Service strongly recommends that you seek assistance from Agensi Kaunseling dan Pengurusan Kredit (AKPK), an agency established by Bank Negara Malaysia. AKPK provides free financial counselling and may enrol you into a Debt Management Programme (DMP) to restructure your debts. You may contact AKPK at 03-2616 7766 or visit services.akpk.org.my. Please note that enrolment into an active DMP will require our confirmation and will restrict your eligibility for new unsecured facilities until completion.'</w:t>
      </w:r>
    </w:p>
    <w:p>
      <w:pPr>
        <w:pStyle w:val="Heading2"/>
      </w:pPr>
      <w:r>
        <w:t>COL-002-7.0 — Complaints Management and Escalation Timelines</w:t>
      </w:r>
    </w:p>
    <w:p>
      <w:r>
        <w:t>Borrowers disputing recovery conduct or alleging unfair collection practices must have their grievances registered immediately with Customer Care. The Company mandates that complaints must be acknowledged within 2 business days and formally resolved within 14 days. If the customer remains dissatisfied with the internal dispute resolution outcome, the case must be escalated in writing to the Ombudsman for Financial Services (OFS) or Bank Negara Malaysia (BNM) LINK.</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Delinquency Bucket / Product Category</w:t>
            </w:r>
          </w:p>
        </w:tc>
        <w:tc>
          <w:tcPr>
            <w:tcW w:type="dxa" w:w="1728"/>
          </w:tcPr>
          <w:p>
            <w:r>
              <w:t>Delinquency Trigger</w:t>
            </w:r>
          </w:p>
        </w:tc>
        <w:tc>
          <w:tcPr>
            <w:tcW w:type="dxa" w:w="1728"/>
          </w:tcPr>
          <w:p>
            <w:r>
              <w:t>Collection Action / Recovery Script Stage</w:t>
            </w:r>
          </w:p>
        </w:tc>
        <w:tc>
          <w:tcPr>
            <w:tcW w:type="dxa" w:w="1728"/>
          </w:tcPr>
          <w:p>
            <w:r>
              <w:t>Affordability / Policy Impact</w:t>
            </w:r>
          </w:p>
        </w:tc>
        <w:tc>
          <w:tcPr>
            <w:tcW w:type="dxa" w:w="1728"/>
          </w:tcPr>
          <w:p>
            <w:r>
              <w:t>AKPK Referral Mandatory Trigger</w:t>
            </w:r>
          </w:p>
        </w:tc>
      </w:tr>
      <w:tr>
        <w:tc>
          <w:tcPr>
            <w:tcW w:type="dxa" w:w="1728"/>
          </w:tcPr>
          <w:p>
            <w:r>
              <w:t>Credit Cards (Classic / Gold / Platinum)</w:t>
            </w:r>
          </w:p>
        </w:tc>
        <w:tc>
          <w:tcPr>
            <w:tcW w:type="dxa" w:w="1728"/>
          </w:tcPr>
          <w:p>
            <w:r>
              <w:t>1 to 29 Days Past Due (DPD)</w:t>
            </w:r>
          </w:p>
        </w:tc>
        <w:tc>
          <w:tcPr>
            <w:tcW w:type="dxa" w:w="1728"/>
          </w:tcPr>
          <w:p>
            <w:r>
              <w:t>Standard reminder script; verify overdue minimum payment and advise on tier-based finance charges</w:t>
            </w:r>
          </w:p>
        </w:tc>
        <w:tc>
          <w:tcPr>
            <w:tcW w:type="dxa" w:w="1728"/>
          </w:tcPr>
          <w:p>
            <w:r>
              <w:t>Finance charge increases to 17% p.a. (or 18% p.a. if 2+ late payments in 12 months)</w:t>
            </w:r>
          </w:p>
        </w:tc>
        <w:tc>
          <w:tcPr>
            <w:tcW w:type="dxa" w:w="1728"/>
          </w:tcPr>
          <w:p>
            <w:r>
              <w:t>No; informal guidance only unless debtor declares severe multiple insolvency</w:t>
            </w:r>
          </w:p>
        </w:tc>
      </w:tr>
      <w:tr>
        <w:tc>
          <w:tcPr>
            <w:tcW w:type="dxa" w:w="1728"/>
          </w:tcPr>
          <w:p>
            <w:r>
              <w:t>Credit Cards (Classic / Gold / Platinum)</w:t>
            </w:r>
          </w:p>
        </w:tc>
        <w:tc>
          <w:tcPr>
            <w:tcW w:type="dxa" w:w="1728"/>
          </w:tcPr>
          <w:p>
            <w:r>
              <w:t>30 to 59 DPD (2+ Cycles)</w:t>
            </w:r>
          </w:p>
        </w:tc>
        <w:tc>
          <w:tcPr>
            <w:tcW w:type="dxa" w:w="1728"/>
          </w:tcPr>
          <w:p>
            <w:r>
              <w:t>Hard demand script; temporary card block applied; negotiate payment plan</w:t>
            </w:r>
          </w:p>
        </w:tc>
        <w:tc>
          <w:tcPr>
            <w:tcW w:type="dxa" w:w="1728"/>
          </w:tcPr>
          <w:p>
            <w:r>
              <w:t>Facility 2+ months in arrears triggers mandatory decline for new credit limits</w:t>
            </w:r>
          </w:p>
        </w:tc>
        <w:tc>
          <w:tcPr>
            <w:tcW w:type="dxa" w:w="1728"/>
          </w:tcPr>
          <w:p>
            <w:r>
              <w:t>Optional; advise if cumulative unsecured debt across banks exceeds 10x monthly income</w:t>
            </w:r>
          </w:p>
        </w:tc>
      </w:tr>
      <w:tr>
        <w:tc>
          <w:tcPr>
            <w:tcW w:type="dxa" w:w="1728"/>
          </w:tcPr>
          <w:p>
            <w:r>
              <w:t>Personal Financing-i (Tawarruq)</w:t>
            </w:r>
          </w:p>
        </w:tc>
        <w:tc>
          <w:tcPr>
            <w:tcW w:type="dxa" w:w="1728"/>
          </w:tcPr>
          <w:p>
            <w:r>
              <w:t>60 to 89 DPD (2+ Months Arrears)</w:t>
            </w:r>
          </w:p>
        </w:tc>
        <w:tc>
          <w:tcPr>
            <w:tcW w:type="dxa" w:w="1728"/>
          </w:tcPr>
          <w:p>
            <w:r>
              <w:t>Pre-litigation warning script; full balance acceleration notice drafted</w:t>
            </w:r>
          </w:p>
        </w:tc>
        <w:tc>
          <w:tcPr>
            <w:tcW w:type="dxa" w:w="1728"/>
          </w:tcPr>
          <w:p>
            <w:r>
              <w:t>Profit rate ranges 6.88% to 14.88% flat p.a.; CTOS reporting updated with arrears tag</w:t>
            </w:r>
          </w:p>
        </w:tc>
        <w:tc>
          <w:tcPr>
            <w:tcW w:type="dxa" w:w="1728"/>
          </w:tcPr>
          <w:p>
            <w:r>
              <w:t>Mandatory; debtor unable to maintain NDI floor (RM 1,500 or RM 2,000 for 3+ dependants)</w:t>
            </w:r>
          </w:p>
        </w:tc>
      </w:tr>
      <w:tr>
        <w:tc>
          <w:tcPr>
            <w:tcW w:type="dxa" w:w="1728"/>
          </w:tcPr>
          <w:p>
            <w:r>
              <w:t>Auto &amp; Motorcycle Hire Purchase-i</w:t>
            </w:r>
          </w:p>
        </w:tc>
        <w:tc>
          <w:tcPr>
            <w:tcW w:type="dxa" w:w="1728"/>
          </w:tcPr>
          <w:p>
            <w:r>
              <w:t>60+ DPD (2+ Consecutive Instalments)</w:t>
            </w:r>
          </w:p>
        </w:tc>
        <w:tc>
          <w:tcPr>
            <w:tcW w:type="dxa" w:w="1728"/>
          </w:tcPr>
          <w:p>
            <w:r>
              <w:t>Fourth Schedule Notice (repossession notice) issuance warning script</w:t>
            </w:r>
          </w:p>
        </w:tc>
        <w:tc>
          <w:tcPr>
            <w:tcW w:type="dxa" w:w="1728"/>
          </w:tcPr>
          <w:p>
            <w:r>
              <w:t>Facility default; repossessor assignment initiated if unregularised within 21 days</w:t>
            </w:r>
          </w:p>
        </w:tc>
        <w:tc>
          <w:tcPr>
            <w:tcW w:type="dxa" w:w="1728"/>
          </w:tcPr>
          <w:p>
            <w:r>
              <w:t>Mandatory; customer unable to service instalments and seeking vehicle retention relief</w:t>
            </w:r>
          </w:p>
        </w:tc>
      </w:tr>
      <w:tr>
        <w:tc>
          <w:tcPr>
            <w:tcW w:type="dxa" w:w="1728"/>
          </w:tcPr>
          <w:p>
            <w:r>
              <w:t>Multi-Facility Unsecured Debt</w:t>
            </w:r>
          </w:p>
        </w:tc>
        <w:tc>
          <w:tcPr>
            <w:tcW w:type="dxa" w:w="1728"/>
          </w:tcPr>
          <w:p>
            <w:r>
              <w:t>Active CTOS Flag / Legal Action / Bankruptcy</w:t>
            </w:r>
          </w:p>
        </w:tc>
        <w:tc>
          <w:tcPr>
            <w:tcW w:type="dxa" w:w="1728"/>
          </w:tcPr>
          <w:p>
            <w:r>
              <w:t>Cease active aggressive recovery script; verify legal status and formal representation</w:t>
            </w:r>
          </w:p>
        </w:tc>
        <w:tc>
          <w:tcPr>
            <w:tcW w:type="dxa" w:w="1728"/>
          </w:tcPr>
          <w:p>
            <w:r>
              <w:t>Absolute decline across all automated paths; active DMP ineligible for new unsecured credit</w:t>
            </w:r>
          </w:p>
        </w:tc>
        <w:tc>
          <w:tcPr>
            <w:tcW w:type="dxa" w:w="1728"/>
          </w:tcPr>
          <w:p>
            <w:r>
              <w:t>Immediate; register formal AKPK DMP intake and freeze recovery pending DMP proposal</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Illustrative document for workshop use. Not an AEON Credit policy. | COL-002 v1.0 (2026-01-01)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Illustrative document for workshop use. Not an AEON Credit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