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Income Verification Standard</w:t>
      </w:r>
    </w:p>
    <w:p>
      <w:r>
        <w:rPr>
          <w:b/>
        </w:rPr>
        <w:t>Doc ID: STD-CR-002 | Version: 1.0 | Effective: 2026-01-01 | Access: INTERNAL</w:t>
      </w:r>
    </w:p>
    <w:p>
      <w:r>
        <w:t>Income Verification Standard STD-CR-002 establishes operational requirements for validating applicant income across salaried, self-employed, and gig economy segments for AEON Credit Service (M) Berhad. Effective 2026-01-01, this standard operationalizes the credit underwriting criteria mandated under Credit Policy v2, including documentation standards for calculating Gross Monthly Income to enforce the DSR ceiling (60% for income &lt; RM 3,000; 70% for &gt;= RM 3,000) and the Net Disposable Income (NDI) floor of RM 1,500 (RM 2,000 for applicants supporting 3 or more dependants).</w:t>
      </w:r>
    </w:p>
    <w:p>
      <w:pPr>
        <w:pStyle w:val="Heading2"/>
      </w:pPr>
      <w:r>
        <w:t>1.0 — Purpose and Scope</w:t>
      </w:r>
    </w:p>
    <w:p>
      <w:r>
        <w:t>This Standard specifies the documentary requirements, validation mechanisms, and calculation rules for establishing the verified Gross Monthly Income of individual applicants. This standard applies to all retail credit applications submitted to AEON Credit Service (M) Berhad, including AEON Classic Visa, AEON Gold Visa, AEON Platinum Visa, Personal Financing-i (Tawarruq), Motorcycle Hire Purchase-i, Auto Hire Purchase-i, and Product (Objective) Financing. Establishing verified income is essential for applying Credit Policy v2 thresholds, including DSR caps (60% or 70%), NDI floors (RM 1,500 or RM 2,000), and credit limit multiplier caps (2x or 3x).</w:t>
      </w:r>
    </w:p>
    <w:p>
      <w:pPr>
        <w:pStyle w:val="Heading2"/>
      </w:pPr>
      <w:r>
        <w:t>2.0 — Salaried Applicants Documentation Rules</w:t>
      </w:r>
    </w:p>
    <w:p>
      <w:r>
        <w:t>Salaried applicants are classified into confirmed permanent employees and contract staff. Permanent employees must submit their latest consecutive three (3) months' salary slips and latest consecutive three (3) months' bank statements reflecting salary crediting, or the latest EPF (KWSP) statement showing consecutive minimum six (6) months of employee and employer contributions. For contract employees, a minimum of consecutive six (6) months' payslips and bank statements are mandatory alongside an active employment contract with at least six (6) months remaining tenure.</w:t>
      </w:r>
    </w:p>
    <w:p>
      <w:pPr>
        <w:pStyle w:val="Heading2"/>
      </w:pPr>
      <w:r>
        <w:t>3.0 — Self-Employed and Business Owner Documentation Rules</w:t>
      </w:r>
    </w:p>
    <w:p>
      <w:r>
        <w:t>Self-employed individuals, sole proprietors, active partners, and majority company directors must provide business registration documents from the Companies Commission of Malaysia (SSM) reflecting at least twenty-four (24) months of active business operations. Applicants must submit the latest six (6) consecutive months of primary business operating bank account statements, together with the latest Inland Revenue Board of Malaysia (LHDN) Form B/BE and formal tax payment receipts. Net business income is calculated using a standard operating margin haircut based on industry category or an audited average monthly profit.</w:t>
      </w:r>
    </w:p>
    <w:p>
      <w:pPr>
        <w:pStyle w:val="Heading2"/>
      </w:pPr>
      <w:r>
        <w:t>4.0 — Gig Economy and Variable Income Documentation Rules</w:t>
      </w:r>
    </w:p>
    <w:p>
      <w:r>
        <w:t>Gig economy workers, commission-based agents, and freelancers must provide consecutive six (6) months' commission statements or platform earning summary logs, accompanied by consecutive six (6) months of bank statements evidencing continuous inflows. A statutory 20% stability haircut is applied to the gross six-month rolling average to derive verified Gross Monthly Income. Cash earnings without verifiable bank statement credits or formalized platform settlement documentation are strictly ineligible for computation.</w:t>
      </w:r>
    </w:p>
    <w:p>
      <w:pPr>
        <w:pStyle w:val="Heading2"/>
      </w:pPr>
      <w:r>
        <w:t>5.0 — Bank Statement Verification Protocols</w:t>
      </w:r>
    </w:p>
    <w:p>
      <w:r>
        <w:t>Bank statements provided by applicants must clearly display the account holder's name matching the NRIC, account number, bank logo, and transaction dates. Underwriters and automated document capture pipelines must examine statements for salary transaction codes (e.g., SAL, PAY, GIRO) matching payslip net figures within a +/- 5% variance. Statements showing signs of manual alteration, irregular rounded bulk cash deposits, or continuous inward/outward round-tripping to inflate cash flow must be immediately escalated for comprehensive fraud screening.</w:t>
      </w:r>
    </w:p>
    <w:p>
      <w:pPr>
        <w:pStyle w:val="Heading2"/>
      </w:pPr>
      <w:r>
        <w:t>6.0 — EPF Statement Validation Guidelines</w:t>
      </w:r>
    </w:p>
    <w:p>
      <w:r>
        <w:t>EPF statements downloaded directly from the official i-Akaun portal are accepted as an independent primary verification source. The gross monthly salary is derived by dividing the employee contribution amount by the applicable statutory EPF contribution rate (e.g., 11%). The contribution history must show consistent monthly remittances without gaps exceeding thirty (30) days within the preceding six (6) months. Voluntary self-contributions under i-Saraan or third-party voluntary top-ups shall not be treated as regular employment income.</w:t>
      </w:r>
    </w:p>
    <w:p>
      <w:pPr>
        <w:pStyle w:val="Heading2"/>
      </w:pPr>
      <w:r>
        <w:t>7.0 — Verification Triggers and Enhanced Due Diligence</w:t>
      </w:r>
    </w:p>
    <w:p>
      <w:r>
        <w:t>Manual verification and verbal employment confirmation via official corporate telephone landlines are triggered under any of the following circumstances: (a) CTOS credit score falling between 650 and 699, (b) variance exceeding 10% between declared income and documentary verification, (c) newly established employment tenure under six (6) months, (d) applicant supporting three (3) or more dependants to ensure compliance with the RM 2,000 NDI floor, or (e) requested initial limit exceeding RM 30,000. Any active legal action, bankruptcy, or AKPK flag in CTOS results in immediate absolute decline.</w:t>
      </w:r>
    </w:p>
    <w:p>
      <w:pPr>
        <w:pStyle w:val="Heading2"/>
      </w:pPr>
      <w:r>
        <w:t>8.0 — Audit Trail and Record Retention</w:t>
      </w:r>
    </w:p>
    <w:p>
      <w:r>
        <w:t>All source documents, optical character recognition (OCR) parsing logs, verified gross income computations, and underwriter verification worksheets must be retained in the digital document repository for a minimum period of seven (7) years following facility maturity or termination. Approved credit limits must be archived separately and must never be utilized as an input feature for proprietary credit scoring or automated underwriting assessment models.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Employment Category</w:t>
            </w:r>
          </w:p>
        </w:tc>
        <w:tc>
          <w:tcPr>
            <w:tcW w:type="dxa" w:w="1728"/>
          </w:tcPr>
          <w:p>
            <w:r>
              <w:t>Minimum Document Requirements</w:t>
            </w:r>
          </w:p>
        </w:tc>
        <w:tc>
          <w:tcPr>
            <w:tcW w:type="dxa" w:w="1728"/>
          </w:tcPr>
          <w:p>
            <w:r>
              <w:t>Verification Period</w:t>
            </w:r>
          </w:p>
        </w:tc>
        <w:tc>
          <w:tcPr>
            <w:tcW w:type="dxa" w:w="1728"/>
          </w:tcPr>
          <w:p>
            <w:r>
              <w:t>Applied Haircut / Assessment Rule</w:t>
            </w:r>
          </w:p>
        </w:tc>
        <w:tc>
          <w:tcPr>
            <w:tcW w:type="dxa" w:w="1728"/>
          </w:tcPr>
          <w:p>
            <w:r>
              <w:t>Mandatory Cross-Check Source</w:t>
            </w:r>
          </w:p>
        </w:tc>
      </w:tr>
      <w:tr>
        <w:tc>
          <w:tcPr>
            <w:tcW w:type="dxa" w:w="1728"/>
          </w:tcPr>
          <w:p>
            <w:r>
              <w:t>Salaried (Permanent)</w:t>
            </w:r>
          </w:p>
        </w:tc>
        <w:tc>
          <w:tcPr>
            <w:tcW w:type="dxa" w:w="1728"/>
          </w:tcPr>
          <w:p>
            <w:r>
              <w:t>Latest 3 months' payslips AND bank statements (or latest EPF statement)</w:t>
            </w:r>
          </w:p>
        </w:tc>
        <w:tc>
          <w:tcPr>
            <w:tcW w:type="dxa" w:w="1728"/>
          </w:tcPr>
          <w:p>
            <w:r>
              <w:t>3 months (6 months for EPF)</w:t>
            </w:r>
          </w:p>
        </w:tc>
        <w:tc>
          <w:tcPr>
            <w:tcW w:type="dxa" w:w="1728"/>
          </w:tcPr>
          <w:p>
            <w:r>
              <w:t>100% of basic salary + 50% of regular allowances/overtime</w:t>
            </w:r>
          </w:p>
        </w:tc>
        <w:tc>
          <w:tcPr>
            <w:tcW w:type="dxa" w:w="1728"/>
          </w:tcPr>
          <w:p>
            <w:r>
              <w:t>EPF i-Akaun / Employer HR confirmation</w:t>
            </w:r>
          </w:p>
        </w:tc>
      </w:tr>
      <w:tr>
        <w:tc>
          <w:tcPr>
            <w:tcW w:type="dxa" w:w="1728"/>
          </w:tcPr>
          <w:p>
            <w:r>
              <w:t>Salaried (Contract)</w:t>
            </w:r>
          </w:p>
        </w:tc>
        <w:tc>
          <w:tcPr>
            <w:tcW w:type="dxa" w:w="1728"/>
          </w:tcPr>
          <w:p>
            <w:r>
              <w:t>Latest 6 months' payslips, bank statements, and active employment contract</w:t>
            </w:r>
          </w:p>
        </w:tc>
        <w:tc>
          <w:tcPr>
            <w:tcW w:type="dxa" w:w="1728"/>
          </w:tcPr>
          <w:p>
            <w:r>
              <w:t>6 months</w:t>
            </w:r>
          </w:p>
        </w:tc>
        <w:tc>
          <w:tcPr>
            <w:tcW w:type="dxa" w:w="1728"/>
          </w:tcPr>
          <w:p>
            <w:r>
              <w:t>100% of base contract salary; contract must have &gt;= 6 months remaining</w:t>
            </w:r>
          </w:p>
        </w:tc>
        <w:tc>
          <w:tcPr>
            <w:tcW w:type="dxa" w:w="1728"/>
          </w:tcPr>
          <w:p>
            <w:r>
              <w:t>Direct employer contact via official landline</w:t>
            </w:r>
          </w:p>
        </w:tc>
      </w:tr>
      <w:tr>
        <w:tc>
          <w:tcPr>
            <w:tcW w:type="dxa" w:w="1728"/>
          </w:tcPr>
          <w:p>
            <w:r>
              <w:t>Self-Employed / Sole Proprietor</w:t>
            </w:r>
          </w:p>
        </w:tc>
        <w:tc>
          <w:tcPr>
            <w:tcW w:type="dxa" w:w="1728"/>
          </w:tcPr>
          <w:p>
            <w:r>
              <w:t>SSM registration (&gt;= 2 years), latest 6 months' bank statements, LHDN Form B + tax receipt</w:t>
            </w:r>
          </w:p>
        </w:tc>
        <w:tc>
          <w:tcPr>
            <w:tcW w:type="dxa" w:w="1728"/>
          </w:tcPr>
          <w:p>
            <w:r>
              <w:t>6 months</w:t>
            </w:r>
          </w:p>
        </w:tc>
        <w:tc>
          <w:tcPr>
            <w:tcW w:type="dxa" w:w="1728"/>
          </w:tcPr>
          <w:p>
            <w:r>
              <w:t>Average monthly net credit turnover subject to 50% business expense haircut</w:t>
            </w:r>
          </w:p>
        </w:tc>
        <w:tc>
          <w:tcPr>
            <w:tcW w:type="dxa" w:w="1728"/>
          </w:tcPr>
          <w:p>
            <w:r>
              <w:t>SSM e-Info / LHDN MyTax Portal</w:t>
            </w:r>
          </w:p>
        </w:tc>
      </w:tr>
      <w:tr>
        <w:tc>
          <w:tcPr>
            <w:tcW w:type="dxa" w:w="1728"/>
          </w:tcPr>
          <w:p>
            <w:r>
              <w:t>Gig Economy / Freelance</w:t>
            </w:r>
          </w:p>
        </w:tc>
        <w:tc>
          <w:tcPr>
            <w:tcW w:type="dxa" w:w="1728"/>
          </w:tcPr>
          <w:p>
            <w:r>
              <w:t>Platform earning summaries, commission statements, and matching bank statements</w:t>
            </w:r>
          </w:p>
        </w:tc>
        <w:tc>
          <w:tcPr>
            <w:tcW w:type="dxa" w:w="1728"/>
          </w:tcPr>
          <w:p>
            <w:r>
              <w:t>6 months</w:t>
            </w:r>
          </w:p>
        </w:tc>
        <w:tc>
          <w:tcPr>
            <w:tcW w:type="dxa" w:w="1728"/>
          </w:tcPr>
          <w:p>
            <w:r>
              <w:t>80% of 6-month average income (mandatory 20% volatility haircut)</w:t>
            </w:r>
          </w:p>
        </w:tc>
        <w:tc>
          <w:tcPr>
            <w:tcW w:type="dxa" w:w="1728"/>
          </w:tcPr>
          <w:p>
            <w:r>
              <w:t>Digital platform merchant/driver profile check</w:t>
            </w:r>
          </w:p>
        </w:tc>
      </w:tr>
      <w:tr>
        <w:tc>
          <w:tcPr>
            <w:tcW w:type="dxa" w:w="1728"/>
          </w:tcPr>
          <w:p>
            <w:r>
              <w:t>Commission Earner (Full Commission)</w:t>
            </w:r>
          </w:p>
        </w:tc>
        <w:tc>
          <w:tcPr>
            <w:tcW w:type="dxa" w:w="1728"/>
          </w:tcPr>
          <w:p>
            <w:r>
              <w:t>Latest 6 months' commission slips, 6 months' bank statements, and Form BE/EA</w:t>
            </w:r>
          </w:p>
        </w:tc>
        <w:tc>
          <w:tcPr>
            <w:tcW w:type="dxa" w:w="1728"/>
          </w:tcPr>
          <w:p>
            <w:r>
              <w:t>6 months</w:t>
            </w:r>
          </w:p>
        </w:tc>
        <w:tc>
          <w:tcPr>
            <w:tcW w:type="dxa" w:w="1728"/>
          </w:tcPr>
          <w:p>
            <w:r>
              <w:t>Rolling 6-month average commission income; requires &gt;= 12 months in same agency</w:t>
            </w:r>
          </w:p>
        </w:tc>
        <w:tc>
          <w:tcPr>
            <w:tcW w:type="dxa" w:w="1728"/>
          </w:tcPr>
          <w:p>
            <w:r>
              <w:t>Principal agency confirmation / LHDN EA form</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STD-CR-002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