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eKYC Onboarding Procedure</w:t>
      </w:r>
    </w:p>
    <w:p>
      <w:r>
        <w:rPr>
          <w:b/>
        </w:rPr>
        <w:t>Doc ID: SOP-OPS-001 | Version: 1.0 | Effective: 2026-01-01 | Access: INTERNAL</w:t>
      </w:r>
    </w:p>
    <w:p>
      <w:r>
        <w:t>This Standard Operating Procedure (SOP-OPS-001) establishes the end-to-end electronic Know-Your-Customer (eKYC) onboarding process for AEON Credit Service (M) Berhad. It defines operational workflows for MyKad identity document verification, biometric facial matching, active liveness testing, sanctions and PEP name screening, credit bureau interface triggers, and manual fallback routing to ensure strict regulatory compliance and robust fraud mitigation across all retail consumer financing products.</w:t>
      </w:r>
    </w:p>
    <w:p>
      <w:pPr>
        <w:pStyle w:val="Heading2"/>
      </w:pPr>
      <w:r>
        <w:t>1.0 — Purpose, Scope, and Regulatory Framework</w:t>
      </w:r>
    </w:p>
    <w:p>
      <w:r>
        <w:t>This procedure governs the digital identity verification and customer onboarding workflows across all financing facilities offered by AEON Credit Service (M) Berhad ('the Company'), including AEON Classic Visa, Gold Visa, Platinum Visa, Personal Financing-i (Tawarruq), Motorcycle Hire Purchase-i, Auto Hire Purchase-i, and Product Financing. Operating in full compliance with the Bank Negara Malaysia (BNM) Policy Document on Electronic Know-Your-Customer (e-KYC), this SOP establishes mandatory controls for MyKad capture, biometric liveness detection, screening protocols, and manual fallback pathways.</w:t>
      </w:r>
    </w:p>
    <w:p>
      <w:pPr>
        <w:pStyle w:val="Heading2"/>
      </w:pPr>
      <w:r>
        <w:t>2.0 — MyKad Document Capture and OCR Extraction</w:t>
      </w:r>
    </w:p>
    <w:p>
      <w:r>
        <w:t>Applicants must upload high-resolution original colour images of the front and reverse of their Malaysian National Registration Identity Card (MyKad). The onboarding application executes optical character recognition (OCR) to extract the MyKad number, full legal name, residential address, date of birth, and gender. The automated engine performs document integrity checks, validating the presence of the security ghost portrait, micro-lettering, holographic features, and the internal algorithmic checksum of the identity card number. Blurred, cropped, black-and-white, or tampered images are automatically rejected.</w:t>
      </w:r>
    </w:p>
    <w:p>
      <w:pPr>
        <w:pStyle w:val="Heading2"/>
      </w:pPr>
      <w:r>
        <w:t>3.0 — Facial Biometrics and Passive/Active Liveness Detection</w:t>
      </w:r>
    </w:p>
    <w:p>
      <w:r>
        <w:t>Upon successful validation of the MyKad capture, the applicant must complete a real-time facial biometric scan via the mobile application or secure web interface. The system conducts an active liveness verification challenge (such as head rotation, blinking, or random expression prompts) alongside passive 3D depth analysis to detect presentation attacks, printed photographs, video replays, or synthetic deepfake masks. Extracted facial vectors are compared against the MyKad portrait photo. The automated verification requires a facial similarity match score of 85.0% or higher. Matches falling below 85.0% are blocked from straight-through processing.</w:t>
      </w:r>
    </w:p>
    <w:p>
      <w:pPr>
        <w:pStyle w:val="Heading2"/>
      </w:pPr>
      <w:r>
        <w:t>4.0 — Sanctions, Politically Exposed Persons (PEP), and Adverse Media Screening</w:t>
      </w:r>
    </w:p>
    <w:p>
      <w:r>
        <w:t>Prior to credit evaluation, the core processing engine submits the applicant's verified full name and MyKad number against the United Nations Security Council Resolutions (UNSCR) consolidated sanctions list, the Ministry of Home Affairs (MHA) domestic suppression register, Politically Exposed Persons (PEP) registries, and adverse media watchlists. Any exact match against targeted financial sanctions results in an immediate freeze of the digital session and automated notification to the Compliance AML/CFT Unit. Potential or partial PEP matches are flagged for Enhanced Due Diligence (EDD) and require Line Manager clearance before progressing.</w:t>
      </w:r>
    </w:p>
    <w:p>
      <w:pPr>
        <w:pStyle w:val="Heading2"/>
      </w:pPr>
      <w:r>
        <w:t>5.0 — Credit Bureau Integration and Underwriting Pre-Filter</w:t>
      </w:r>
    </w:p>
    <w:p>
      <w:r>
        <w:t>Following successful identity validation and negative screening clearance, the platform calls external credit bureau services including CTOS Data Systems and CCRIS. In line with Credit Policy v2, credit scores are categorized immediately: scores of 700 and above are allocated to the prime tier, scores between 650 and 699 are assigned standard risk-based pricing, and scores below 650 are disqualified from the automated processing pipeline and queued for Senior Underwriter review. If the bureau report indicates active bankruptcy, pending legal action, an active AKPK Debt Management Programme (DMP) flag, or any existing credit facility currently 2 or more months in arrears, the system executes an absolute decline without exception.</w:t>
      </w:r>
    </w:p>
    <w:p>
      <w:pPr>
        <w:pStyle w:val="Heading2"/>
      </w:pPr>
      <w:r>
        <w:t>6.0 — Manual Fallback and Exception Handling Protocol</w:t>
      </w:r>
    </w:p>
    <w:p>
      <w:r>
        <w:t>Applicants failing automated eKYC due to camera resolution limitations, minor document glare, OCR character ambiguity, or marginal biometric match scores between 70.0% and 84.9% are diverted into the manual fallback workflow. A specialized Operations Verification Officer examines the uncompressed digital assets, cross-checks National Registration Department (JPN) verification databases where integrated, and may initiate an authenticated outbound video verification call. The applicant is granted up to three automated capture attempts before manual diversion occurs. If manual verification cannot decisively confirm identity within 2 business days, the application is cancelled.</w:t>
      </w:r>
    </w:p>
    <w:p>
      <w:pPr>
        <w:pStyle w:val="Heading2"/>
      </w:pPr>
      <w:r>
        <w:t>7.0 — Customer Inquiries, Complaints, and Dispute Resolution</w:t>
      </w:r>
    </w:p>
    <w:p>
      <w:r>
        <w:t>Applicants experiencing adverse decisions or operational friction during eKYC verification are entitled to raise an inquiry or grievance through authorized customer touchpoints. Operations staff must log all formal complaints immediately, issue an official written acknowledgment to the applicant within 2 business days, and provide a full resolution within 14 calendar days. If a dispute regarding identity verification failure or credit declination cannot be resolved internally within 14 days, the customer must be formally advised of their right to escalate the matter to the Ombudsman for Financial Services (OFS).</w:t>
      </w:r>
    </w:p>
    <w:p>
      <w:pPr>
        <w:pStyle w:val="Heading2"/>
      </w:pPr>
      <w:r>
        <w:t>8.0 — Data Security, Encryption, and Audit Logging</w:t>
      </w:r>
    </w:p>
    <w:p>
      <w:r>
        <w:t>All biometric vectors, photographic records, and OCR-extracted metadata must be encrypted in transit using TLS 1.3 and at rest utilizing AES-256 standards in full compliance with the Personal Data Protection Act 2010 (PDPA) and BNM Risk Management in Technology (RMiT) standards. Document images and verification session logs must be retained securely for a statutory minimum of 7 years following customer onboarding or account closure. Under no circumstances may raw facial biometric images be exposed via unauthenticated endpoints or exported to unencrypted portable storage media.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Verification Stage</w:t>
            </w:r>
          </w:p>
        </w:tc>
        <w:tc>
          <w:tcPr>
            <w:tcW w:type="dxa" w:w="1728"/>
          </w:tcPr>
          <w:p>
            <w:r>
              <w:t>Target Check Item</w:t>
            </w:r>
          </w:p>
        </w:tc>
        <w:tc>
          <w:tcPr>
            <w:tcW w:type="dxa" w:w="1728"/>
          </w:tcPr>
          <w:p>
            <w:r>
              <w:t>Automated Acceptance Criteria</w:t>
            </w:r>
          </w:p>
        </w:tc>
        <w:tc>
          <w:tcPr>
            <w:tcW w:type="dxa" w:w="1728"/>
          </w:tcPr>
          <w:p>
            <w:r>
              <w:t>Fallback Trigger / Failure Threshold</w:t>
            </w:r>
          </w:p>
        </w:tc>
        <w:tc>
          <w:tcPr>
            <w:tcW w:type="dxa" w:w="1728"/>
          </w:tcPr>
          <w:p>
            <w:r>
              <w:t>Operational Routing &amp; Action</w:t>
            </w:r>
          </w:p>
        </w:tc>
      </w:tr>
      <w:tr>
        <w:tc>
          <w:tcPr>
            <w:tcW w:type="dxa" w:w="1728"/>
          </w:tcPr>
          <w:p>
            <w:r>
              <w:t>Stage 1: Document OCR</w:t>
            </w:r>
          </w:p>
        </w:tc>
        <w:tc>
          <w:tcPr>
            <w:tcW w:type="dxa" w:w="1728"/>
          </w:tcPr>
          <w:p>
            <w:r>
              <w:t>MyKad Authenticity &amp; Legibility</w:t>
            </w:r>
          </w:p>
        </w:tc>
        <w:tc>
          <w:tcPr>
            <w:tcW w:type="dxa" w:w="1728"/>
          </w:tcPr>
          <w:p>
            <w:r>
              <w:t>Valid checksum algorithm, visible hologram, zero cropping, clear uncompressed text</w:t>
            </w:r>
          </w:p>
        </w:tc>
        <w:tc>
          <w:tcPr>
            <w:tcW w:type="dxa" w:w="1728"/>
          </w:tcPr>
          <w:p>
            <w:r>
              <w:t>Blurred text, glare, cropped borders, checksum mismatch, or 3 consecutive scan failures</w:t>
            </w:r>
          </w:p>
        </w:tc>
        <w:tc>
          <w:tcPr>
            <w:tcW w:type="dxa" w:w="1728"/>
          </w:tcPr>
          <w:p>
            <w:r>
              <w:t>Route to Operations Verification Officer for manual image examination or re-upload</w:t>
            </w:r>
          </w:p>
        </w:tc>
      </w:tr>
      <w:tr>
        <w:tc>
          <w:tcPr>
            <w:tcW w:type="dxa" w:w="1728"/>
          </w:tcPr>
          <w:p>
            <w:r>
              <w:t>Stage 2: Liveness Check</w:t>
            </w:r>
          </w:p>
        </w:tc>
        <w:tc>
          <w:tcPr>
            <w:tcW w:type="dxa" w:w="1728"/>
          </w:tcPr>
          <w:p>
            <w:r>
              <w:t>Anti-Spoofing &amp; Motion Challenge</w:t>
            </w:r>
          </w:p>
        </w:tc>
        <w:tc>
          <w:tcPr>
            <w:tcW w:type="dxa" w:w="1728"/>
          </w:tcPr>
          <w:p>
            <w:r>
              <w:t>Successful completion of randomized active prompts; 0% presentation attack score</w:t>
            </w:r>
          </w:p>
        </w:tc>
        <w:tc>
          <w:tcPr>
            <w:tcW w:type="dxa" w:w="1728"/>
          </w:tcPr>
          <w:p>
            <w:r>
              <w:t>Screen playback detected, 3D mask artifact found, or session timeout (&gt; 60 seconds)</w:t>
            </w:r>
          </w:p>
        </w:tc>
        <w:tc>
          <w:tcPr>
            <w:tcW w:type="dxa" w:w="1728"/>
          </w:tcPr>
          <w:p>
            <w:r>
              <w:t>Terminate automated session; flag potential fraud attempt to Fraud Control Unit</w:t>
            </w:r>
          </w:p>
        </w:tc>
      </w:tr>
      <w:tr>
        <w:tc>
          <w:tcPr>
            <w:tcW w:type="dxa" w:w="1728"/>
          </w:tcPr>
          <w:p>
            <w:r>
              <w:t>Stage 3: Facial Matching</w:t>
            </w:r>
          </w:p>
        </w:tc>
        <w:tc>
          <w:tcPr>
            <w:tcW w:type="dxa" w:w="1728"/>
          </w:tcPr>
          <w:p>
            <w:r>
              <w:t>1:1 Biometric Comparison</w:t>
            </w:r>
          </w:p>
        </w:tc>
        <w:tc>
          <w:tcPr>
            <w:tcW w:type="dxa" w:w="1728"/>
          </w:tcPr>
          <w:p>
            <w:r>
              <w:t>Facial vector similarity match score &gt;= 85.0% between live scan and MyKad photo</w:t>
            </w:r>
          </w:p>
        </w:tc>
        <w:tc>
          <w:tcPr>
            <w:tcW w:type="dxa" w:w="1728"/>
          </w:tcPr>
          <w:p>
            <w:r>
              <w:t>Match score between 70.0% and 84.9% (or score &lt; 70.0% triggering direct decline)</w:t>
            </w:r>
          </w:p>
        </w:tc>
        <w:tc>
          <w:tcPr>
            <w:tcW w:type="dxa" w:w="1728"/>
          </w:tcPr>
          <w:p>
            <w:r>
              <w:t>Score 70.0% - 84.9% diverted to Manual Video Call; score &lt; 70.0% declined automatically</w:t>
            </w:r>
          </w:p>
        </w:tc>
      </w:tr>
      <w:tr>
        <w:tc>
          <w:tcPr>
            <w:tcW w:type="dxa" w:w="1728"/>
          </w:tcPr>
          <w:p>
            <w:r>
              <w:t>Stage 4: AML / PEP Check</w:t>
            </w:r>
          </w:p>
        </w:tc>
        <w:tc>
          <w:tcPr>
            <w:tcW w:type="dxa" w:w="1728"/>
          </w:tcPr>
          <w:p>
            <w:r>
              <w:t>UNSCR, MHA, and PEP Name Registers</w:t>
            </w:r>
          </w:p>
        </w:tc>
        <w:tc>
          <w:tcPr>
            <w:tcW w:type="dxa" w:w="1728"/>
          </w:tcPr>
          <w:p>
            <w:r>
              <w:t>Zero matches identified; or false positive cleared through deterministic algorithm</w:t>
            </w:r>
          </w:p>
        </w:tc>
        <w:tc>
          <w:tcPr>
            <w:tcW w:type="dxa" w:w="1728"/>
          </w:tcPr>
          <w:p>
            <w:r>
              <w:t>Exact match on UNSCR/MHA sanctions; or close name/IC match on domestic PEP registry</w:t>
            </w:r>
          </w:p>
        </w:tc>
        <w:tc>
          <w:tcPr>
            <w:tcW w:type="dxa" w:w="1728"/>
          </w:tcPr>
          <w:p>
            <w:r>
              <w:t>Instant freeze for sanctions; route PEP hits to Compliance AML/CFT Unit for EDD</w:t>
            </w:r>
          </w:p>
        </w:tc>
      </w:tr>
      <w:tr>
        <w:tc>
          <w:tcPr>
            <w:tcW w:type="dxa" w:w="1728"/>
          </w:tcPr>
          <w:p>
            <w:r>
              <w:t>Stage 5: Credit Screening</w:t>
            </w:r>
          </w:p>
        </w:tc>
        <w:tc>
          <w:tcPr>
            <w:tcW w:type="dxa" w:w="1728"/>
          </w:tcPr>
          <w:p>
            <w:r>
              <w:t>CTOS Score &amp; Arrears Profile</w:t>
            </w:r>
          </w:p>
        </w:tc>
        <w:tc>
          <w:tcPr>
            <w:tcW w:type="dxa" w:w="1728"/>
          </w:tcPr>
          <w:p>
            <w:r>
              <w:t>CTOS score &gt;= 650; 0 facilities 2+ months in arrears; no bankruptcy or AKPK flags</w:t>
            </w:r>
          </w:p>
        </w:tc>
        <w:tc>
          <w:tcPr>
            <w:tcW w:type="dxa" w:w="1728"/>
          </w:tcPr>
          <w:p>
            <w:r>
              <w:t>CTOS score &lt; 650; facility 2+ months in arrears; legal action, bankruptcy, or AKPK DMP</w:t>
            </w:r>
          </w:p>
        </w:tc>
        <w:tc>
          <w:tcPr>
            <w:tcW w:type="dxa" w:w="1728"/>
          </w:tcPr>
          <w:p>
            <w:r>
              <w:t>Score &lt; 650 routed to Senior Underwriter; adverse legal/AKPK/arrears flags trigger instant decline</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Illustrative document for workshop use. Not an AEON Credit policy. | SOP-OPS-001 v1.0 (2026-01-01)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Illustrative document for workshop use. Not an AEON Credit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