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Card Transaction Dispute and Chargeback</w:t>
      </w:r>
    </w:p>
    <w:p>
      <w:r>
        <w:rPr>
          <w:b/>
        </w:rPr>
        <w:t>Doc ID: SOP-OPS-002 | Version: 1.0 | Effective: 2026-01-01 | Access: INTERNAL</w:t>
      </w:r>
    </w:p>
    <w:p>
      <w:r>
        <w:t>This Standard Operating Procedure (SOP-OPS-002) outlines the operational workflow, intake criteria, provisional credit assessment, and Visa chargeback reason code management for disputed transactions across AEON Classic Visa, AEON Gold Visa, and AEON Platinum Visa credit card accounts issued by AEON Credit Service (M) Berhad. It establishes strict procedural adherence to Visa Core Rules, Bank Negara Malaysia dispute governance standards, internal complaint resolution targets within 14 days, and external escalation pathways to the Ombudsman for Financial Services.</w:t>
      </w:r>
    </w:p>
    <w:p>
      <w:pPr>
        <w:pStyle w:val="Heading2"/>
      </w:pPr>
      <w:r>
        <w:t>1.0 — Purpose and Scope</w:t>
      </w:r>
    </w:p>
    <w:p>
      <w:r>
        <w:t>This procedure governs the end-to-end handling of cardholder dispute claims, chargeback lifecycle management, representment processing, and provisional credit administration for AEON Credit Service (M) Berhad ('the Company'). The provisions herein apply strictly to all retail credit card offerings, including the AEON Classic Visa, AEON Gold Visa, and AEON Platinum Visa credit cards. Front-line customer service personnel, card operations specialists, and dispute investigation officers must adhere to the timelines and criteria stipulated in this document.</w:t>
      </w:r>
    </w:p>
    <w:p>
      <w:pPr>
        <w:pStyle w:val="Heading2"/>
      </w:pPr>
      <w:r>
        <w:t>2.0 — Dispute Intake, Verification, and Acknowledgement</w:t>
      </w:r>
    </w:p>
    <w:p>
      <w:r>
        <w:t>Cardholders must lodge a formal transaction dispute within sixty (60) calendar days from the date of the card statement on which the disputed transaction first appeared. Disputed claims must be submitted using the prescribed Cardholder Dispute Declaration Form accompanied by supporting evidence, including sales receipts, merchant correspondence, or police reports where unauthorised transactions or fraud are alleged. In compliance with the Company's customer service charter, all dispute notifications and complaints received must be formally acknowledged within two (2) business days from receipt.</w:t>
      </w:r>
    </w:p>
    <w:p>
      <w:pPr>
        <w:pStyle w:val="Heading2"/>
      </w:pPr>
      <w:r>
        <w:t>3.0 — Provisional Credit Assessment and Posting</w:t>
      </w:r>
    </w:p>
    <w:p>
      <w:r>
        <w:t>Upon receipt of a substantiated dispute, the Card Operations team evaluates eligibility for provisional credit. For valid non-fraud processing errors (such as duplicate charges) and unauthorised card-not-present fraud, provisional credit equal to the disputed principal amount shall be credited to the cardholder account within seven (7) business days. Provisional credit is conditional: should the dispute be resolved in the merchant's favour following representment, or if the cardholder is determined to have acted with gross negligence, the provisional credit shall be reversed immediately with notice to the cardholder.</w:t>
      </w:r>
    </w:p>
    <w:p>
      <w:pPr>
        <w:pStyle w:val="Heading2"/>
      </w:pPr>
      <w:r>
        <w:t>4.0 — Visa Chargeback Processing and Reason Codes</w:t>
      </w:r>
    </w:p>
    <w:p>
      <w:r>
        <w:t>All chargebacks must be lodged via the Visa Resolve Online (VROL) network in accordance with the latest Visa Core Rules and Visa Product and Service Rules. Dispute specialists must categorise claims under one of the four principal Visa dispute families: Fraud (Family 10), Authorisation (Family 11), Processing Errors (Family 12), or Customer Disputes (Family 13). Specialists must ensure that all required narrative documentation, cardholder certifications, and digital audit trails satisfy Visa scheme requirements prior to electronic transmission within the scheme-mandated timeframes.</w:t>
      </w:r>
    </w:p>
    <w:p>
      <w:pPr>
        <w:pStyle w:val="Heading2"/>
      </w:pPr>
      <w:r>
        <w:t>5.0 — Representment, Pre-Arbitration, and Arbitration Workflows</w:t>
      </w:r>
    </w:p>
    <w:p>
      <w:r>
        <w:t>When an acquirer submits a representment refuting a chargeback, the Card Operations unit has thirty (30) calendar days from the representment date to review the merchant's rebuttal documentation. If the merchant's proof fails to substantiate the charge, the officer shall file a Pre-Arbitration case via VROL within thirty (30) days. If the pre-arbitration is declined by the acquirer and the dispute merit exceeds standard cost-recovery thresholds, the dispute may be escalated to formal Visa Arbitration upon approval by the Head of Card Operations.</w:t>
      </w:r>
    </w:p>
    <w:p>
      <w:pPr>
        <w:pStyle w:val="Heading2"/>
      </w:pPr>
      <w:r>
        <w:t>6.0 — Resolution Timelines and Escalation to OFS</w:t>
      </w:r>
    </w:p>
    <w:p>
      <w:r>
        <w:t>The Company aims to conclude all dispute investigations and deliver a formal written resolution to the cardholder within fourteen (14) days from the initial dispute intake date. In complex scenarios requiring prolonged international merchant trace, an interim status update must be provided on day 14. If a dispute or complaint cannot be resolved satisfactorily within the internal framework, the cardholder shall be formally advised of their right to escalate the matter to the Ombudsman for Financial Services (OFS) within six (6) months of the Company's final decision letter.</w:t>
      </w:r>
    </w:p>
    <w:p>
      <w:pPr>
        <w:pStyle w:val="Heading2"/>
      </w:pPr>
      <w:r>
        <w:t>7.0 — Adjustment of Finance Charges and Statement Balances</w:t>
      </w:r>
    </w:p>
    <w:p>
      <w:r>
        <w:t>Where a dispute is upheld in the cardholder's favour, the Card Operations unit must execute full systemic reversals of the disputed transaction amount alongside any finance charges (15%, 17%, or 18% p.a. depending on account standing) and late payment charges accrued directly from the disputed billing. If card annual fees (RM 150 for Gold or RM 400 for Platinum) or promotional fee waivers were compromised as an operational consequence of an unresolved dispute, the Operations team shall effect appropriate manual billing corrections.</w:t>
      </w:r>
    </w:p>
    <w:p>
      <w:pPr>
        <w:pStyle w:val="Heading2"/>
      </w:pPr>
      <w:r>
        <w:t>8.0 — Audit Trail, Record Retention, and Quality Assurance</w:t>
      </w:r>
    </w:p>
    <w:p>
      <w:r>
        <w:t>All interaction logs, chargeback documentation, VROL message logs, voice recordings, and customer written declarations must be retained in the central electronic document repository for a minimum period of seven (7) years in alignment with Bank Negara Malaysia guidelines and internal data governance standards. The Internal Audit and Quality Assurance units shall conduct monthly post-resolution sampling to ensure adherence to acknowledgment timelines, reason code accuracy, and reconciliation of provisional credits.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Visa Reason Code</w:t>
            </w:r>
          </w:p>
        </w:tc>
        <w:tc>
          <w:tcPr>
            <w:tcW w:type="dxa" w:w="1728"/>
          </w:tcPr>
          <w:p>
            <w:r>
              <w:t>Dispute Category</w:t>
            </w:r>
          </w:p>
        </w:tc>
        <w:tc>
          <w:tcPr>
            <w:tcW w:type="dxa" w:w="1728"/>
          </w:tcPr>
          <w:p>
            <w:r>
              <w:t>Description</w:t>
            </w:r>
          </w:p>
        </w:tc>
        <w:tc>
          <w:tcPr>
            <w:tcW w:type="dxa" w:w="1728"/>
          </w:tcPr>
          <w:p>
            <w:r>
              <w:t>Scheme Filing Timeframe</w:t>
            </w:r>
          </w:p>
        </w:tc>
        <w:tc>
          <w:tcPr>
            <w:tcW w:type="dxa" w:w="1728"/>
          </w:tcPr>
          <w:p>
            <w:r>
              <w:t>Provisional Credit Protocol</w:t>
            </w:r>
          </w:p>
        </w:tc>
      </w:tr>
      <w:tr>
        <w:tc>
          <w:tcPr>
            <w:tcW w:type="dxa" w:w="1728"/>
          </w:tcPr>
          <w:p>
            <w:r>
              <w:t>10.4</w:t>
            </w:r>
          </w:p>
        </w:tc>
        <w:tc>
          <w:tcPr>
            <w:tcW w:type="dxa" w:w="1728"/>
          </w:tcPr>
          <w:p>
            <w:r>
              <w:t>Fraud</w:t>
            </w:r>
          </w:p>
        </w:tc>
        <w:tc>
          <w:tcPr>
            <w:tcW w:type="dxa" w:w="1728"/>
          </w:tcPr>
          <w:p>
            <w:r>
              <w:t>Other Fraud - Card-Absent Environment (e-Commerce, MOTO)</w:t>
            </w:r>
          </w:p>
        </w:tc>
        <w:tc>
          <w:tcPr>
            <w:tcW w:type="dxa" w:w="1728"/>
          </w:tcPr>
          <w:p>
            <w:r>
              <w:t>120 calendar days from transaction processing date</w:t>
            </w:r>
          </w:p>
        </w:tc>
        <w:tc>
          <w:tcPr>
            <w:tcW w:type="dxa" w:w="1728"/>
          </w:tcPr>
          <w:p>
            <w:r>
              <w:t>Mandatory within 7 business days following fraud validation</w:t>
            </w:r>
          </w:p>
        </w:tc>
      </w:tr>
      <w:tr>
        <w:tc>
          <w:tcPr>
            <w:tcW w:type="dxa" w:w="1728"/>
          </w:tcPr>
          <w:p>
            <w:r>
              <w:t>11.3</w:t>
            </w:r>
          </w:p>
        </w:tc>
        <w:tc>
          <w:tcPr>
            <w:tcW w:type="dxa" w:w="1728"/>
          </w:tcPr>
          <w:p>
            <w:r>
              <w:t>Authorisation</w:t>
            </w:r>
          </w:p>
        </w:tc>
        <w:tc>
          <w:tcPr>
            <w:tcW w:type="dxa" w:w="1728"/>
          </w:tcPr>
          <w:p>
            <w:r>
              <w:t>No Authorisation or Declined Authorisation Presentment</w:t>
            </w:r>
          </w:p>
        </w:tc>
        <w:tc>
          <w:tcPr>
            <w:tcW w:type="dxa" w:w="1728"/>
          </w:tcPr>
          <w:p>
            <w:r>
              <w:t>75 calendar days from transaction processing date</w:t>
            </w:r>
          </w:p>
        </w:tc>
        <w:tc>
          <w:tcPr>
            <w:tcW w:type="dxa" w:w="1728"/>
          </w:tcPr>
          <w:p>
            <w:r>
              <w:t>Automated provisional credit posted within 3 business days</w:t>
            </w:r>
          </w:p>
        </w:tc>
      </w:tr>
      <w:tr>
        <w:tc>
          <w:tcPr>
            <w:tcW w:type="dxa" w:w="1728"/>
          </w:tcPr>
          <w:p>
            <w:r>
              <w:t>12.1</w:t>
            </w:r>
          </w:p>
        </w:tc>
        <w:tc>
          <w:tcPr>
            <w:tcW w:type="dxa" w:w="1728"/>
          </w:tcPr>
          <w:p>
            <w:r>
              <w:t>Processing Errors</w:t>
            </w:r>
          </w:p>
        </w:tc>
        <w:tc>
          <w:tcPr>
            <w:tcW w:type="dxa" w:w="1728"/>
          </w:tcPr>
          <w:p>
            <w:r>
              <w:t>Late Presentment (clearing outside mandated transaction window)</w:t>
            </w:r>
          </w:p>
        </w:tc>
        <w:tc>
          <w:tcPr>
            <w:tcW w:type="dxa" w:w="1728"/>
          </w:tcPr>
          <w:p>
            <w:r>
              <w:t>120 calendar days from transaction date</w:t>
            </w:r>
          </w:p>
        </w:tc>
        <w:tc>
          <w:tcPr>
            <w:tcW w:type="dxa" w:w="1728"/>
          </w:tcPr>
          <w:p>
            <w:r>
              <w:t>Provisional credit posted upon acquirer presentment validation</w:t>
            </w:r>
          </w:p>
        </w:tc>
      </w:tr>
      <w:tr>
        <w:tc>
          <w:tcPr>
            <w:tcW w:type="dxa" w:w="1728"/>
          </w:tcPr>
          <w:p>
            <w:r>
              <w:t>12.6</w:t>
            </w:r>
          </w:p>
        </w:tc>
        <w:tc>
          <w:tcPr>
            <w:tcW w:type="dxa" w:w="1728"/>
          </w:tcPr>
          <w:p>
            <w:r>
              <w:t>Processing Errors</w:t>
            </w:r>
          </w:p>
        </w:tc>
        <w:tc>
          <w:tcPr>
            <w:tcW w:type="dxa" w:w="1728"/>
          </w:tcPr>
          <w:p>
            <w:r>
              <w:t>Duplicate Processing or Paid by Other Means</w:t>
            </w:r>
          </w:p>
        </w:tc>
        <w:tc>
          <w:tcPr>
            <w:tcW w:type="dxa" w:w="1728"/>
          </w:tcPr>
          <w:p>
            <w:r>
              <w:t>120 calendar days from transaction processing date</w:t>
            </w:r>
          </w:p>
        </w:tc>
        <w:tc>
          <w:tcPr>
            <w:tcW w:type="dxa" w:w="1728"/>
          </w:tcPr>
          <w:p>
            <w:r>
              <w:t>Immediate provisional credit upon submission of payment proof</w:t>
            </w:r>
          </w:p>
        </w:tc>
      </w:tr>
      <w:tr>
        <w:tc>
          <w:tcPr>
            <w:tcW w:type="dxa" w:w="1728"/>
          </w:tcPr>
          <w:p>
            <w:r>
              <w:t>13.1</w:t>
            </w:r>
          </w:p>
        </w:tc>
        <w:tc>
          <w:tcPr>
            <w:tcW w:type="dxa" w:w="1728"/>
          </w:tcPr>
          <w:p>
            <w:r>
              <w:t>Customer Disputes</w:t>
            </w:r>
          </w:p>
        </w:tc>
        <w:tc>
          <w:tcPr>
            <w:tcW w:type="dxa" w:w="1728"/>
          </w:tcPr>
          <w:p>
            <w:r>
              <w:t>Merchandise or Services Not Received / Cancelled Service</w:t>
            </w:r>
          </w:p>
        </w:tc>
        <w:tc>
          <w:tcPr>
            <w:tcW w:type="dxa" w:w="1728"/>
          </w:tcPr>
          <w:p>
            <w:r>
              <w:t>120 calendar days from expected delivery or cancellation date</w:t>
            </w:r>
          </w:p>
        </w:tc>
        <w:tc>
          <w:tcPr>
            <w:tcW w:type="dxa" w:w="1728"/>
          </w:tcPr>
          <w:p>
            <w:r>
              <w:t>Provisional credit subject to review of merchant attempt records</w:t>
            </w:r>
          </w:p>
        </w:tc>
      </w:tr>
      <w:tr>
        <w:tc>
          <w:tcPr>
            <w:tcW w:type="dxa" w:w="1728"/>
          </w:tcPr>
          <w:p>
            <w:r>
              <w:t>13.3</w:t>
            </w:r>
          </w:p>
        </w:tc>
        <w:tc>
          <w:tcPr>
            <w:tcW w:type="dxa" w:w="1728"/>
          </w:tcPr>
          <w:p>
            <w:r>
              <w:t>Customer Disputes</w:t>
            </w:r>
          </w:p>
        </w:tc>
        <w:tc>
          <w:tcPr>
            <w:tcW w:type="dxa" w:w="1728"/>
          </w:tcPr>
          <w:p>
            <w:r>
              <w:t>Defective, Damaged, or Not-as-Described Merchandise</w:t>
            </w:r>
          </w:p>
        </w:tc>
        <w:tc>
          <w:tcPr>
            <w:tcW w:type="dxa" w:w="1728"/>
          </w:tcPr>
          <w:p>
            <w:r>
              <w:t>120 calendar days from transaction date or return date</w:t>
            </w:r>
          </w:p>
        </w:tc>
        <w:tc>
          <w:tcPr>
            <w:tcW w:type="dxa" w:w="1728"/>
          </w:tcPr>
          <w:p>
            <w:r>
              <w:t>Provisional credit posted upon return proof and merchant receipt</w:t>
            </w:r>
          </w:p>
        </w:tc>
      </w:tr>
    </w:tbl>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Illustrative document for workshop use. Not an AEON Credit policy. | SOP-OPS-002 v1.0 (2026-01-01)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Illustrative document for workshop use. Not an AEON Credit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