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Early Settlement Processing</w:t>
      </w:r>
    </w:p>
    <w:p>
      <w:r>
        <w:rPr>
          <w:b/>
        </w:rPr>
        <w:t>Doc ID: SOP-OPS-003 | Version: 1.0 | Effective: 2026-01-01 | Access: INTERNAL</w:t>
      </w:r>
    </w:p>
    <w:p>
      <w:r>
        <w:t>This Standard Operating Procedure (SOP-OPS-003) defines the operational workflow for processing early settlement requests across AEON Credit Service (M) Berhad financing products, covering early settlement quotation validity, rebate (ibra') computation methodology, clearance verification, collateral release, and discharge documentation issuance.</w:t>
      </w:r>
    </w:p>
    <w:p>
      <w:pPr>
        <w:pStyle w:val="Heading2"/>
      </w:pPr>
      <w:r>
        <w:t>1.0 — Purpose and Scope</w:t>
      </w:r>
    </w:p>
    <w:p>
      <w:r>
        <w:t>This standard operating procedure governs the operational workflow for early settlement processing across AEON Credit Service (M) Berhad ('the Company') products, including Personal Financing-i (Tawarruq), Motorcycle Hire Purchase-i, Auto Hire Purchase-i, and Product (Objective) Financing. It prescribes rules for issuing settlement quotations, calculating rebate (ibra') on unearned profit, processing payments, releasing collateral charges, and issuing formal letters of release and discharge.</w:t>
      </w:r>
    </w:p>
    <w:p>
      <w:pPr>
        <w:pStyle w:val="Heading2"/>
      </w:pPr>
      <w:r>
        <w:t>2.0 — Settlement Quotation Generation and Validity</w:t>
      </w:r>
    </w:p>
    <w:p>
      <w:r>
        <w:t>Upon receipt of a customer's formal request via branch counter, customer care, or verified self-service channels, Operations personnel shall generate an Early Settlement Quotation statement via the core banking system. The settlement quotation shall strictly possess a validity period of 7 calendar days from the date of generation. If full settlement funds are not credited within this 7-day validity window, the quotation lapses automatically and a revised settlement quotation reflecting recalculated unearned profit and accrued charges must be generated.</w:t>
      </w:r>
    </w:p>
    <w:p>
      <w:pPr>
        <w:pStyle w:val="Heading2"/>
      </w:pPr>
      <w:r>
        <w:t>3.0 — Rebate (Ibra') Computation Methodology</w:t>
      </w:r>
    </w:p>
    <w:p>
      <w:r>
        <w:t>In compliance with Shariah governance requirements and statutory guidelines, the Company grants a rebate (ibra') on unearned profit to customers who settle their Islamic financing facilities prior to maturity. The net early settlement figure is calculated as the outstanding sale price minus unearned profit (calculated via Rule of 78 or reducing balance amortisation schedule as specified in product terms) minus statutory rebate adjustments, plus any overdue instalments, late payment compensation (ta'widh) accrued to date, and administrative discharge fees if applicable.</w:t>
      </w:r>
    </w:p>
    <w:p>
      <w:pPr>
        <w:pStyle w:val="Heading2"/>
      </w:pPr>
      <w:r>
        <w:t>4.0 — Payment Reconciliation and Clearance</w:t>
      </w:r>
    </w:p>
    <w:p>
      <w:r>
        <w:t>Settlement payments must be remitted via approved payment rails including MEPS DuitNow, interbank GIRO, branch over-the-counter cash or bank draft, or authorized merchant channels. Operations must perform same-day reconciliation upon credit advice. Where payment is made by cheque or bank draft, the early settlement is considered provisional pending clearance. No facility account closure or collateral release may occur until funds have irrevocably cleared into the Company's operational disbursement account.</w:t>
      </w:r>
    </w:p>
    <w:p>
      <w:pPr>
        <w:pStyle w:val="Heading2"/>
      </w:pPr>
      <w:r>
        <w:t>5.0 — Issuance of Release Letter and Collateral Discharge</w:t>
      </w:r>
    </w:p>
    <w:p>
      <w:r>
        <w:t>Following full financial reconciliation, Operations shall trigger the issuance of an official Release Letter within 3 business days of cleared payment. For secured facilities such as Motorcycle Hire Purchase-i (tenure 12 to 60 months) and Auto Hire Purchase-i (tenure up to 108 months), the Collateral Management Unit shall execute vehicle e-Hakmilik cancellation in the JPJ (Jabatan Pengangkutan Jalan) database and release the physical vehicle registration card or digital clearance confirmation to the hirer.</w:t>
      </w:r>
    </w:p>
    <w:p>
      <w:pPr>
        <w:pStyle w:val="Heading2"/>
      </w:pPr>
      <w:r>
        <w:t>6.0 — Credit Bureau and CCRIS Status Update</w:t>
      </w:r>
    </w:p>
    <w:p>
      <w:r>
        <w:t>Upon formal account closure following early settlement, the Credit Operations team must flag the financing account as 'Fully Settled' in the core banking system. The status update must be transmitted in the subsequent scheduled reporting cycle to Bank Negara Malaysia's Central Credit Reference Information System (CCRIS) and external credit reporting agencies including CTOS Data Systems Sdn Bhd, ensuring all records reflect a zero outstanding balance and complete termination of facility obligations.</w:t>
      </w:r>
    </w:p>
    <w:p>
      <w:pPr>
        <w:pStyle w:val="Heading2"/>
      </w:pPr>
      <w:r>
        <w:t>7.0 — Handling Customer Disputes and Inquiries</w:t>
      </w:r>
    </w:p>
    <w:p>
      <w:r>
        <w:t>Any customer dispute or grievance regarding early settlement quotations, ibra' computation variances, or delay in vehicle ownership release documentation must be handled in accordance with the Company's central complaints handling procedure. Operational units must acknowledge customer complaints within 2 business days of receipt and resolve the issue within 14 calendar days. Unresolved complaints must be escalated with explicit notification allowing customers recourse to the Ombudsman for Financial Services.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Product Name</w:t>
            </w:r>
          </w:p>
        </w:tc>
        <w:tc>
          <w:tcPr>
            <w:tcW w:type="dxa" w:w="1728"/>
          </w:tcPr>
          <w:p>
            <w:r>
              <w:t>Typical Facility Tenure</w:t>
            </w:r>
          </w:p>
        </w:tc>
        <w:tc>
          <w:tcPr>
            <w:tcW w:type="dxa" w:w="1728"/>
          </w:tcPr>
          <w:p>
            <w:r>
              <w:t>Settlement Quotation Validity</w:t>
            </w:r>
          </w:p>
        </w:tc>
        <w:tc>
          <w:tcPr>
            <w:tcW w:type="dxa" w:w="1728"/>
          </w:tcPr>
          <w:p>
            <w:r>
              <w:t>Ibra' (Rebate) Calculation Basis</w:t>
            </w:r>
          </w:p>
        </w:tc>
        <w:tc>
          <w:tcPr>
            <w:tcW w:type="dxa" w:w="1728"/>
          </w:tcPr>
          <w:p>
            <w:r>
              <w:t>Discharge / Release Letter TAT</w:t>
            </w:r>
          </w:p>
        </w:tc>
      </w:tr>
      <w:tr>
        <w:tc>
          <w:tcPr>
            <w:tcW w:type="dxa" w:w="1728"/>
          </w:tcPr>
          <w:p>
            <w:r>
              <w:t>Personal Financing-i (Tawarruq)</w:t>
            </w:r>
          </w:p>
        </w:tc>
        <w:tc>
          <w:tcPr>
            <w:tcW w:type="dxa" w:w="1728"/>
          </w:tcPr>
          <w:p>
            <w:r>
              <w:t>12 to 84 months</w:t>
            </w:r>
          </w:p>
        </w:tc>
        <w:tc>
          <w:tcPr>
            <w:tcW w:type="dxa" w:w="1728"/>
          </w:tcPr>
          <w:p>
            <w:r>
              <w:t>7 calendar days</w:t>
            </w:r>
          </w:p>
        </w:tc>
        <w:tc>
          <w:tcPr>
            <w:tcW w:type="dxa" w:w="1728"/>
          </w:tcPr>
          <w:p>
            <w:r>
              <w:t>Unearned profit rebate on remaining tenure</w:t>
            </w:r>
          </w:p>
        </w:tc>
        <w:tc>
          <w:tcPr>
            <w:tcW w:type="dxa" w:w="1728"/>
          </w:tcPr>
          <w:p>
            <w:r>
              <w:t>3 business days from cleared funds</w:t>
            </w:r>
          </w:p>
        </w:tc>
      </w:tr>
      <w:tr>
        <w:tc>
          <w:tcPr>
            <w:tcW w:type="dxa" w:w="1728"/>
          </w:tcPr>
          <w:p>
            <w:r>
              <w:t>Motorcycle Hire Purchase-i</w:t>
            </w:r>
          </w:p>
        </w:tc>
        <w:tc>
          <w:tcPr>
            <w:tcW w:type="dxa" w:w="1728"/>
          </w:tcPr>
          <w:p>
            <w:r>
              <w:t>12 to 60 months</w:t>
            </w:r>
          </w:p>
        </w:tc>
        <w:tc>
          <w:tcPr>
            <w:tcW w:type="dxa" w:w="1728"/>
          </w:tcPr>
          <w:p>
            <w:r>
              <w:t>7 calendar days</w:t>
            </w:r>
          </w:p>
        </w:tc>
        <w:tc>
          <w:tcPr>
            <w:tcW w:type="dxa" w:w="1728"/>
          </w:tcPr>
          <w:p>
            <w:r>
              <w:t>Rule of 78 unearned profit rebate</w:t>
            </w:r>
          </w:p>
        </w:tc>
        <w:tc>
          <w:tcPr>
            <w:tcW w:type="dxa" w:w="1728"/>
          </w:tcPr>
          <w:p>
            <w:r>
              <w:t>3 business days; JPJ e-Hakmilik de-registration</w:t>
            </w:r>
          </w:p>
        </w:tc>
      </w:tr>
      <w:tr>
        <w:tc>
          <w:tcPr>
            <w:tcW w:type="dxa" w:w="1728"/>
          </w:tcPr>
          <w:p>
            <w:r>
              <w:t>Auto Hire Purchase-i</w:t>
            </w:r>
          </w:p>
        </w:tc>
        <w:tc>
          <w:tcPr>
            <w:tcW w:type="dxa" w:w="1728"/>
          </w:tcPr>
          <w:p>
            <w:r>
              <w:t>Up to 108 months</w:t>
            </w:r>
          </w:p>
        </w:tc>
        <w:tc>
          <w:tcPr>
            <w:tcW w:type="dxa" w:w="1728"/>
          </w:tcPr>
          <w:p>
            <w:r>
              <w:t>7 calendar days</w:t>
            </w:r>
          </w:p>
        </w:tc>
        <w:tc>
          <w:tcPr>
            <w:tcW w:type="dxa" w:w="1728"/>
          </w:tcPr>
          <w:p>
            <w:r>
              <w:t>Rule of 78 unearned profit rebate</w:t>
            </w:r>
          </w:p>
        </w:tc>
        <w:tc>
          <w:tcPr>
            <w:tcW w:type="dxa" w:w="1728"/>
          </w:tcPr>
          <w:p>
            <w:r>
              <w:t>3 business days; JPJ e-Hakmilik de-registration</w:t>
            </w:r>
          </w:p>
        </w:tc>
      </w:tr>
      <w:tr>
        <w:tc>
          <w:tcPr>
            <w:tcW w:type="dxa" w:w="1728"/>
          </w:tcPr>
          <w:p>
            <w:r>
              <w:t>Product (Objective) Financing</w:t>
            </w:r>
          </w:p>
        </w:tc>
        <w:tc>
          <w:tcPr>
            <w:tcW w:type="dxa" w:w="1728"/>
          </w:tcPr>
          <w:p>
            <w:r>
              <w:t>12 to 48 months</w:t>
            </w:r>
          </w:p>
        </w:tc>
        <w:tc>
          <w:tcPr>
            <w:tcW w:type="dxa" w:w="1728"/>
          </w:tcPr>
          <w:p>
            <w:r>
              <w:t>7 calendar days</w:t>
            </w:r>
          </w:p>
        </w:tc>
        <w:tc>
          <w:tcPr>
            <w:tcW w:type="dxa" w:w="1728"/>
          </w:tcPr>
          <w:p>
            <w:r>
              <w:t>Unearned profit rebate on contract terms</w:t>
            </w:r>
          </w:p>
        </w:tc>
        <w:tc>
          <w:tcPr>
            <w:tcW w:type="dxa" w:w="1728"/>
          </w:tcPr>
          <w:p>
            <w:r>
              <w:t>3 business days from cleared funds</w:t>
            </w:r>
          </w:p>
        </w:tc>
      </w:tr>
      <w:tr>
        <w:tc>
          <w:tcPr>
            <w:tcW w:type="dxa" w:w="1728"/>
          </w:tcPr>
          <w:p>
            <w:r>
              <w:t>AEON Credit Card (Term Balance)</w:t>
            </w:r>
          </w:p>
        </w:tc>
        <w:tc>
          <w:tcPr>
            <w:tcW w:type="dxa" w:w="1728"/>
          </w:tcPr>
          <w:p>
            <w:r>
              <w:t>Revolving / Term Conversion</w:t>
            </w:r>
          </w:p>
        </w:tc>
        <w:tc>
          <w:tcPr>
            <w:tcW w:type="dxa" w:w="1728"/>
          </w:tcPr>
          <w:p>
            <w:r>
              <w:t>7 calendar days</w:t>
            </w:r>
          </w:p>
        </w:tc>
        <w:tc>
          <w:tcPr>
            <w:tcW w:type="dxa" w:w="1728"/>
          </w:tcPr>
          <w:p>
            <w:r>
              <w:t>Waiver of future unbilled finance charges</w:t>
            </w:r>
          </w:p>
        </w:tc>
        <w:tc>
          <w:tcPr>
            <w:tcW w:type="dxa" w:w="1728"/>
          </w:tcPr>
          <w:p>
            <w:r>
              <w:t>2 business days via electronic confirmation</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Illustrative document for workshop use. Not an AEON Credit policy. | SOP-OPS-003 v1.0 (2026-01-01)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Illustrative document for workshop use. Not an AEON Credit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