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and Stolen Card Handling</w:t>
      </w:r>
    </w:p>
    <w:p>
      <w:r>
        <w:rPr>
          <w:b/>
        </w:rPr>
        <w:t>Doc ID: SOP-OPS-004 | Version: 1.0 | Effective: 2026-01-01 | Access: INTERNAL</w:t>
      </w:r>
    </w:p>
    <w:p>
      <w:r>
        <w:t>This Standard Operating Procedure (SOP-OPS-004) defines operational guidelines for handling lost and stolen AEON Credit Service (M) Berhad credit cards. It details mandatory emergency blocking protocols within minutes of receipt of notice, sets the clear liability cut-off threshold for cardholders, establishes dispute filing workflows, outlines card replacement issuance, and aligns complaint handling with the standard statutory resolution timeframes.</w:t>
      </w:r>
    </w:p>
    <w:p>
      <w:pPr>
        <w:pStyle w:val="Heading2"/>
      </w:pPr>
      <w:r>
        <w:t>1.0 — Purpose and Scope</w:t>
      </w:r>
    </w:p>
    <w:p>
      <w:r>
        <w:t>This SOP governs the end-to-end operational handling of lost, stolen, or compromised credit cards issued by AEON Credit Service (M) Berhad ('the Company'). The provisions herein apply to customer care agents, fraud operations personnel, and branch front-liners servicing cardholders of AEON Classic Visa, AEON Gold Visa, and AEON Platinum Visa credit cards, including all valid primary and supplementary cards.</w:t>
      </w:r>
    </w:p>
    <w:p>
      <w:pPr>
        <w:pStyle w:val="Heading2"/>
      </w:pPr>
      <w:r>
        <w:t>2.0 — Immediate Card Blocking and Hotlisting Protocol</w:t>
      </w:r>
    </w:p>
    <w:p>
      <w:r>
        <w:t>Upon receiving a lost or stolen report via the 24-hour Customer Service Hotline, AEON Wallet mobile application, or in-person at any AEON Credit branch, operations personnel must execute an immediate permanent block ('Status B - Stolen' or 'Status L - Lost') on the card management system. The target service level agreement (SLA) for system blocking is within five minutes of verbal or digital verification to prevent subsequent unauthorized transactions.</w:t>
      </w:r>
    </w:p>
    <w:p>
      <w:pPr>
        <w:pStyle w:val="Heading2"/>
      </w:pPr>
      <w:r>
        <w:t>3.0 — Cardholder Verification and Reporting Channels</w:t>
      </w:r>
    </w:p>
    <w:p>
      <w:r>
        <w:t>Cardholders reporting an incident must be authenticated using mandatory verification identifiers, including full name as per NRIC or passport, NRIC number, billing address, and recent transaction history. If reported via digital self-service on the AEON Wallet app, two-factor authentication (2FA) satisfies primary identification. Branch staff receiving in-person reports must inspect original photo identification and document the physical interaction timestamp.</w:t>
      </w:r>
    </w:p>
    <w:p>
      <w:pPr>
        <w:pStyle w:val="Heading2"/>
      </w:pPr>
      <w:r>
        <w:t>4.0 — Liability Cut-Off and Cardholder Responsibility</w:t>
      </w:r>
    </w:p>
    <w:p>
      <w:r>
        <w:t>The cardholder's liability for unauthorized transactions ceases immediately upon the Company receiving formal notification of the lost or stolen card. For unauthorized transactions occurring prior to reporting, cardholder liability shall be limited to statutory thresholds unless investigation proves that the cardholder acted fraudulently, disclosed their Card Verification Value (CVV) or Personal Identification Number (PIN), or exhibited gross negligence in safeguarding the physical card.</w:t>
      </w:r>
    </w:p>
    <w:p>
      <w:pPr>
        <w:pStyle w:val="Heading2"/>
      </w:pPr>
      <w:r>
        <w:t>5.0 — Card Replacement and PIN Re-issuance</w:t>
      </w:r>
    </w:p>
    <w:p>
      <w:r>
        <w:t>Upon confirmed hotlisting, operations staff shall initiate replacement card processing unless explicitly declined by the cardholder. A new 16-digit card number and security profile will be generated, and outstanding balances transferred automatically. Standard replacement cards are dispatched via secure registered courier within three to five business days. Replacement fees are debited as per the product pricing schedule unless granted an operational waiver.</w:t>
      </w:r>
    </w:p>
    <w:p>
      <w:pPr>
        <w:pStyle w:val="Heading2"/>
      </w:pPr>
      <w:r>
        <w:t>6.0 — Disputed Transaction Investigation and Police Report</w:t>
      </w:r>
    </w:p>
    <w:p>
      <w:r>
        <w:t>Where unauthorized transactions occur prior to card blocking, the cardholder must submit a signed Cardholder Dispute Form accompanied by a formal Royal Malaysia Police (PDRM) report lodged within 24 hours of discovering the loss. Fraud Operations will examine merchant settlement logs, point-of-sale terminal signatures, EMV chip telemetry, and 3D-Secure One-Time Password (OTP) records to substantiate the dispute.</w:t>
      </w:r>
    </w:p>
    <w:p>
      <w:pPr>
        <w:pStyle w:val="Heading2"/>
      </w:pPr>
      <w:r>
        <w:t>7.0 — Complaint Resolution and External Escalation</w:t>
      </w:r>
    </w:p>
    <w:p>
      <w:r>
        <w:t>Any grievance or dispute regarding unauthorized liability, operational delays, or fee imposition must be logged in the centralized complaint management system. The Company must acknowledge the complaint within 2 business days and resolve the dispute within 14 days. If the dispute remains unresolved to the customer's satisfaction, the complainant must be notified in writing of their right to escalate the matter to the Ombudsman for Financial Services.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Card Product / Service Category</w:t>
            </w:r>
          </w:p>
        </w:tc>
        <w:tc>
          <w:tcPr>
            <w:tcW w:type="dxa" w:w="1728"/>
          </w:tcPr>
          <w:p>
            <w:r>
              <w:t>Hotlisting SLA</w:t>
            </w:r>
          </w:p>
        </w:tc>
        <w:tc>
          <w:tcPr>
            <w:tcW w:type="dxa" w:w="1728"/>
          </w:tcPr>
          <w:p>
            <w:r>
              <w:t>Customer Liability Post-Notification</w:t>
            </w:r>
          </w:p>
        </w:tc>
        <w:tc>
          <w:tcPr>
            <w:tcW w:type="dxa" w:w="1728"/>
          </w:tcPr>
          <w:p>
            <w:r>
              <w:t>Replacement Fee (RM)</w:t>
            </w:r>
          </w:p>
        </w:tc>
        <w:tc>
          <w:tcPr>
            <w:tcW w:type="dxa" w:w="1728"/>
          </w:tcPr>
          <w:p>
            <w:r>
              <w:t>Courier Dispatch SLA</w:t>
            </w:r>
          </w:p>
        </w:tc>
      </w:tr>
      <w:tr>
        <w:tc>
          <w:tcPr>
            <w:tcW w:type="dxa" w:w="1728"/>
          </w:tcPr>
          <w:p>
            <w:r>
              <w:t>AEON Classic Visa</w:t>
            </w:r>
          </w:p>
        </w:tc>
        <w:tc>
          <w:tcPr>
            <w:tcW w:type="dxa" w:w="1728"/>
          </w:tcPr>
          <w:p>
            <w:r>
              <w:t>&lt; 5 minutes</w:t>
            </w:r>
          </w:p>
        </w:tc>
        <w:tc>
          <w:tcPr>
            <w:tcW w:type="dxa" w:w="1728"/>
          </w:tcPr>
          <w:p>
            <w:r>
              <w:t>RM 0 (Zero Liability)</w:t>
            </w:r>
          </w:p>
        </w:tc>
        <w:tc>
          <w:tcPr>
            <w:tcW w:type="dxa" w:w="1728"/>
          </w:tcPr>
          <w:p>
            <w:r>
              <w:t>RM 25.00</w:t>
            </w:r>
          </w:p>
        </w:tc>
        <w:tc>
          <w:tcPr>
            <w:tcW w:type="dxa" w:w="1728"/>
          </w:tcPr>
          <w:p>
            <w:r>
              <w:t>3 to 5 business days</w:t>
            </w:r>
          </w:p>
        </w:tc>
      </w:tr>
      <w:tr>
        <w:tc>
          <w:tcPr>
            <w:tcW w:type="dxa" w:w="1728"/>
          </w:tcPr>
          <w:p>
            <w:r>
              <w:t>AEON Gold Visa</w:t>
            </w:r>
          </w:p>
        </w:tc>
        <w:tc>
          <w:tcPr>
            <w:tcW w:type="dxa" w:w="1728"/>
          </w:tcPr>
          <w:p>
            <w:r>
              <w:t>&lt; 5 minutes</w:t>
            </w:r>
          </w:p>
        </w:tc>
        <w:tc>
          <w:tcPr>
            <w:tcW w:type="dxa" w:w="1728"/>
          </w:tcPr>
          <w:p>
            <w:r>
              <w:t>RM 0 (Zero Liability)</w:t>
            </w:r>
          </w:p>
        </w:tc>
        <w:tc>
          <w:tcPr>
            <w:tcW w:type="dxa" w:w="1728"/>
          </w:tcPr>
          <w:p>
            <w:r>
              <w:t>RM 25.00</w:t>
            </w:r>
          </w:p>
        </w:tc>
        <w:tc>
          <w:tcPr>
            <w:tcW w:type="dxa" w:w="1728"/>
          </w:tcPr>
          <w:p>
            <w:r>
              <w:t>3 to 5 business days</w:t>
            </w:r>
          </w:p>
        </w:tc>
      </w:tr>
      <w:tr>
        <w:tc>
          <w:tcPr>
            <w:tcW w:type="dxa" w:w="1728"/>
          </w:tcPr>
          <w:p>
            <w:r>
              <w:t>AEON Platinum Visa</w:t>
            </w:r>
          </w:p>
        </w:tc>
        <w:tc>
          <w:tcPr>
            <w:tcW w:type="dxa" w:w="1728"/>
          </w:tcPr>
          <w:p>
            <w:r>
              <w:t>&lt; 5 minutes</w:t>
            </w:r>
          </w:p>
        </w:tc>
        <w:tc>
          <w:tcPr>
            <w:tcW w:type="dxa" w:w="1728"/>
          </w:tcPr>
          <w:p>
            <w:r>
              <w:t>RM 0 (Zero Liability)</w:t>
            </w:r>
          </w:p>
        </w:tc>
        <w:tc>
          <w:tcPr>
            <w:tcW w:type="dxa" w:w="1728"/>
          </w:tcPr>
          <w:p>
            <w:r>
              <w:t>RM 0.00 (Waived)</w:t>
            </w:r>
          </w:p>
        </w:tc>
        <w:tc>
          <w:tcPr>
            <w:tcW w:type="dxa" w:w="1728"/>
          </w:tcPr>
          <w:p>
            <w:r>
              <w:t>1 to 3 business days</w:t>
            </w:r>
          </w:p>
        </w:tc>
      </w:tr>
      <w:tr>
        <w:tc>
          <w:tcPr>
            <w:tcW w:type="dxa" w:w="1728"/>
          </w:tcPr>
          <w:p>
            <w:r>
              <w:t>Supplementary Cards (All Tiers)</w:t>
            </w:r>
          </w:p>
        </w:tc>
        <w:tc>
          <w:tcPr>
            <w:tcW w:type="dxa" w:w="1728"/>
          </w:tcPr>
          <w:p>
            <w:r>
              <w:t>&lt; 5 minutes</w:t>
            </w:r>
          </w:p>
        </w:tc>
        <w:tc>
          <w:tcPr>
            <w:tcW w:type="dxa" w:w="1728"/>
          </w:tcPr>
          <w:p>
            <w:r>
              <w:t>RM 0 (Zero Liability)</w:t>
            </w:r>
          </w:p>
        </w:tc>
        <w:tc>
          <w:tcPr>
            <w:tcW w:type="dxa" w:w="1728"/>
          </w:tcPr>
          <w:p>
            <w:r>
              <w:t>RM 25.00</w:t>
            </w:r>
          </w:p>
        </w:tc>
        <w:tc>
          <w:tcPr>
            <w:tcW w:type="dxa" w:w="1728"/>
          </w:tcPr>
          <w:p>
            <w:r>
              <w:t>3 to 5 business days</w:t>
            </w:r>
          </w:p>
        </w:tc>
      </w:tr>
      <w:tr>
        <w:tc>
          <w:tcPr>
            <w:tcW w:type="dxa" w:w="1728"/>
          </w:tcPr>
          <w:p>
            <w:r>
              <w:t>Emergency Overseas Courier Service</w:t>
            </w:r>
          </w:p>
        </w:tc>
        <w:tc>
          <w:tcPr>
            <w:tcW w:type="dxa" w:w="1728"/>
          </w:tcPr>
          <w:p>
            <w:r>
              <w:t>&lt; 15 minutes</w:t>
            </w:r>
          </w:p>
        </w:tc>
        <w:tc>
          <w:tcPr>
            <w:tcW w:type="dxa" w:w="1728"/>
          </w:tcPr>
          <w:p>
            <w:r>
              <w:t>RM 0 (Zero Liability)</w:t>
            </w:r>
          </w:p>
        </w:tc>
        <w:tc>
          <w:tcPr>
            <w:tcW w:type="dxa" w:w="1728"/>
          </w:tcPr>
          <w:p>
            <w:r>
              <w:t>RM 50.00</w:t>
            </w:r>
          </w:p>
        </w:tc>
        <w:tc>
          <w:tcPr>
            <w:tcW w:type="dxa" w:w="1728"/>
          </w:tcPr>
          <w:p>
            <w:r>
              <w:t>3 to 7 business days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SOP-OPS-004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