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Limit Increase Review</w:t>
      </w:r>
    </w:p>
    <w:p>
      <w:r>
        <w:rPr>
          <w:b/>
        </w:rPr>
        <w:t>Doc ID: SOP-OPS-005 | Version: 1.0 | Effective: 2026-01-01 | Access: INTERNAL</w:t>
      </w:r>
    </w:p>
    <w:p>
      <w:r>
        <w:t>This Standard Operating Procedure (SOP-OPS-005) governs the assessment, verification, and approval workflow for permanent credit limit increase requests across credit card and revolving credit facilities issued by AEON Credit Service (M) Berhad. In alignment with Credit Policy v2 (effective 2026-01-01), this procedure establishes strict account seasoning rules (minimum 12 months active tenure), statutory Debt Service Ratio (DSR) caps, revised Net Disposable Income (NDI) floors factoring dependants, mandatory explicit customer consent, and comprehensive external bureau screening.</w:t>
      </w:r>
    </w:p>
    <w:p>
      <w:pPr>
        <w:pStyle w:val="Heading2"/>
      </w:pPr>
      <w:r>
        <w:t>1.0 — Purpose and Operational Scope</w:t>
      </w:r>
    </w:p>
    <w:p>
      <w:r>
        <w:t>This procedure outlines the operational steps for evaluating permanent credit limit increase applications for existing credit cardholders holding AEON Classic Visa, AEON Gold Visa, and AEON Platinum Visa accounts, as well as revolving credit line facilities administered by AEON Credit Service (M) Berhad. All operations personnel and underwriting staff must adhere strictly to these processing standards to maintain prudential credit quality and regulatory compliance.</w:t>
      </w:r>
    </w:p>
    <w:p>
      <w:pPr>
        <w:pStyle w:val="Heading2"/>
      </w:pPr>
      <w:r>
        <w:t>2.0 — Mandatory Account Seasoning Rule</w:t>
      </w:r>
    </w:p>
    <w:p>
      <w:r>
        <w:t>No credit limit increase shall be granted within the first 12 months of facility opening under any circumstances. The credit card or revolving credit account must have completed a minimum of 12 full billing cycles with an active, uninterrupted payment history. Any customer request or system-generated trigger initiated prior to the 12-month tenure threshold must be systematically rejected by the loan origination system without manual override.</w:t>
      </w:r>
    </w:p>
    <w:p>
      <w:pPr>
        <w:pStyle w:val="Heading2"/>
      </w:pPr>
      <w:r>
        <w:t>3.0 — Income Eligibility and Multiplier Limits</w:t>
      </w:r>
    </w:p>
    <w:p>
      <w:r>
        <w:t>Credit limit increases are subject to statutory income multiplier limits based on verified gross monthly income. For cardholders with gross monthly income below RM 3,000, the maximum aggregate credit limit shall not exceed 2 times gross monthly income. For gross monthly income between RM 3,000 and RM 4,999, the revised limit remains capped at 2 times gross monthly income. For cardholders with verified gross monthly income of RM 5,000 and above, the approved limit may be increased up to a maximum cap of 3 times gross monthly income. In accordance with policy governance, an approved credit limit must never be utilized as a machine learning model input.</w:t>
      </w:r>
    </w:p>
    <w:p>
      <w:pPr>
        <w:pStyle w:val="Heading2"/>
      </w:pPr>
      <w:r>
        <w:t>4.0 — Affordability Criteria: DSR and NDI Compliance</w:t>
      </w:r>
    </w:p>
    <w:p>
      <w:r>
        <w:t>All limit increase reviews require re-calculation of the applicant's affordability metrics. The projected Debt Service Ratio (DSR) including the revised credit limit commitments must not exceed 60% for applicants earning gross monthly income under RM 3,000, or 70% for applicants earning RM 3,000 and above. Additionally, the applicant must satisfy the binding Net Disposable Income (NDI) floor post-facility calculation: a minimum NDI floor of RM 1,500 applies where the applicant supports fewer than 3 dependants, and a raised NDI floor of RM 2,000 applies where the applicant supports 3 or more dependants.</w:t>
      </w:r>
    </w:p>
    <w:p>
      <w:pPr>
        <w:pStyle w:val="Heading2"/>
      </w:pPr>
      <w:r>
        <w:t>5.0 — Credit Bureau Assessment and Disqualifying Flags</w:t>
      </w:r>
    </w:p>
    <w:p>
      <w:r>
        <w:t>A fresh CTOS credit bureau assessment is mandatory for all credit limit increase requests. Applicants with a CTOS score of 700 or above qualify for prime tier automated evaluation; scores between 650 and 699 require standard manual underwriting review; and scores below 650 must not pass via automated pathways and mandate Senior Underwriter review. An immediate absolute decline must be executed if the CTOS report indicates pending legal action, active bankruptcy status, or an AKPK flag. Furthermore, any applicant with an existing internal or external credit facility currently 2 or more months in arrears, or enrolled in an active AKPK Debt Management Programme (DMP), is strictly ineligible for a credit limit increase.</w:t>
      </w:r>
    </w:p>
    <w:p>
      <w:pPr>
        <w:pStyle w:val="Heading2"/>
      </w:pPr>
      <w:r>
        <w:t>6.0 — Customer Consent and Verification Standards</w:t>
      </w:r>
    </w:p>
    <w:p>
      <w:r>
        <w:t>In strict compliance with regulatory guidelines, AEON Credit Service (M) Berhad strictly prohibits unilateral or unsolicited credit limit increases. Every limit increase requires affirmative, documented customer consent obtained via signed physical variation form, verified two-factor digital banking consent, or recorded telephone interaction on a compliant voice line. Underwriters must verify customer identity and obtain current income documentation, defined as the latest 3 months salary slips, latest EPF contribution statement, or 6 months bank statements for self-employed individuals.</w:t>
      </w:r>
    </w:p>
    <w:p>
      <w:pPr>
        <w:pStyle w:val="Heading2"/>
      </w:pPr>
      <w:r>
        <w:t>7.0 — Notification, Activation, and Dispute Resolution</w:t>
      </w:r>
    </w:p>
    <w:p>
      <w:r>
        <w:t>Approved limit adjustments must be reflected in the core banking system within 1 business day of underwriting sign-off, accompanied by an SMS and written notification to the cardholder. For rejected requests, a formal adverse notification letter or electronic advice detailing general criteria must be dispatched. In the event of customer complaints regarding limit increase decisions, customer care representatives must formally acknowledge the complaint within 2 business days and resolve the dispute within 14 calendar days. Unresolved complaints must be escalated to the Ombudsman for Financial Services (OFS).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Customer Income Tier</w:t>
            </w:r>
          </w:p>
        </w:tc>
        <w:tc>
          <w:tcPr>
            <w:tcW w:type="dxa" w:w="1440"/>
          </w:tcPr>
          <w:p>
            <w:r>
              <w:t>Dependant Count</w:t>
            </w:r>
          </w:p>
        </w:tc>
        <w:tc>
          <w:tcPr>
            <w:tcW w:type="dxa" w:w="1440"/>
          </w:tcPr>
          <w:p>
            <w:r>
              <w:t>Minimum Facility Seasoning</w:t>
            </w:r>
          </w:p>
        </w:tc>
        <w:tc>
          <w:tcPr>
            <w:tcW w:type="dxa" w:w="1440"/>
          </w:tcPr>
          <w:p>
            <w:r>
              <w:t>Maximum Limit Multiplier</w:t>
            </w:r>
          </w:p>
        </w:tc>
        <w:tc>
          <w:tcPr>
            <w:tcW w:type="dxa" w:w="1440"/>
          </w:tcPr>
          <w:p>
            <w:r>
              <w:t>Maximum Binding DSR</w:t>
            </w:r>
          </w:p>
        </w:tc>
        <w:tc>
          <w:tcPr>
            <w:tcW w:type="dxa" w:w="1440"/>
          </w:tcPr>
          <w:p>
            <w:r>
              <w:t>Required Minimum NDI Floor</w:t>
            </w:r>
          </w:p>
        </w:tc>
      </w:tr>
      <w:tr>
        <w:tc>
          <w:tcPr>
            <w:tcW w:type="dxa" w:w="1440"/>
          </w:tcPr>
          <w:p>
            <w:r>
              <w:t>Gross Monthly Income &lt; RM 3,000</w:t>
            </w:r>
          </w:p>
        </w:tc>
        <w:tc>
          <w:tcPr>
            <w:tcW w:type="dxa" w:w="1440"/>
          </w:tcPr>
          <w:p>
            <w:r>
              <w:t>0 to 2 dependants</w:t>
            </w:r>
          </w:p>
        </w:tc>
        <w:tc>
          <w:tcPr>
            <w:tcW w:type="dxa" w:w="1440"/>
          </w:tcPr>
          <w:p>
            <w:r>
              <w:t>12 months active tenure</w:t>
            </w:r>
          </w:p>
        </w:tc>
        <w:tc>
          <w:tcPr>
            <w:tcW w:type="dxa" w:w="1440"/>
          </w:tcPr>
          <w:p>
            <w:r>
              <w:t>2x gross monthly income</w:t>
            </w:r>
          </w:p>
        </w:tc>
        <w:tc>
          <w:tcPr>
            <w:tcW w:type="dxa" w:w="1440"/>
          </w:tcPr>
          <w:p>
            <w:r>
              <w:t>60%</w:t>
            </w:r>
          </w:p>
        </w:tc>
        <w:tc>
          <w:tcPr>
            <w:tcW w:type="dxa" w:w="1440"/>
          </w:tcPr>
          <w:p>
            <w:r>
              <w:t>RM 1,500</w:t>
            </w:r>
          </w:p>
        </w:tc>
      </w:tr>
      <w:tr>
        <w:tc>
          <w:tcPr>
            <w:tcW w:type="dxa" w:w="1440"/>
          </w:tcPr>
          <w:p>
            <w:r>
              <w:t>Gross Monthly Income &lt; RM 3,000</w:t>
            </w:r>
          </w:p>
        </w:tc>
        <w:tc>
          <w:tcPr>
            <w:tcW w:type="dxa" w:w="1440"/>
          </w:tcPr>
          <w:p>
            <w:r>
              <w:t>3 or more dependants</w:t>
            </w:r>
          </w:p>
        </w:tc>
        <w:tc>
          <w:tcPr>
            <w:tcW w:type="dxa" w:w="1440"/>
          </w:tcPr>
          <w:p>
            <w:r>
              <w:t>12 months active tenure</w:t>
            </w:r>
          </w:p>
        </w:tc>
        <w:tc>
          <w:tcPr>
            <w:tcW w:type="dxa" w:w="1440"/>
          </w:tcPr>
          <w:p>
            <w:r>
              <w:t>2x gross monthly income</w:t>
            </w:r>
          </w:p>
        </w:tc>
        <w:tc>
          <w:tcPr>
            <w:tcW w:type="dxa" w:w="1440"/>
          </w:tcPr>
          <w:p>
            <w:r>
              <w:t>60%</w:t>
            </w:r>
          </w:p>
        </w:tc>
        <w:tc>
          <w:tcPr>
            <w:tcW w:type="dxa" w:w="1440"/>
          </w:tcPr>
          <w:p>
            <w:r>
              <w:t>RM 2,000</w:t>
            </w:r>
          </w:p>
        </w:tc>
      </w:tr>
      <w:tr>
        <w:tc>
          <w:tcPr>
            <w:tcW w:type="dxa" w:w="1440"/>
          </w:tcPr>
          <w:p>
            <w:r>
              <w:t>Gross Monthly Income RM 3,000 to RM 4,999</w:t>
            </w:r>
          </w:p>
        </w:tc>
        <w:tc>
          <w:tcPr>
            <w:tcW w:type="dxa" w:w="1440"/>
          </w:tcPr>
          <w:p>
            <w:r>
              <w:t>0 to 2 dependants</w:t>
            </w:r>
          </w:p>
        </w:tc>
        <w:tc>
          <w:tcPr>
            <w:tcW w:type="dxa" w:w="1440"/>
          </w:tcPr>
          <w:p>
            <w:r>
              <w:t>12 months active tenure</w:t>
            </w:r>
          </w:p>
        </w:tc>
        <w:tc>
          <w:tcPr>
            <w:tcW w:type="dxa" w:w="1440"/>
          </w:tcPr>
          <w:p>
            <w:r>
              <w:t>2x gross monthly income</w:t>
            </w:r>
          </w:p>
        </w:tc>
        <w:tc>
          <w:tcPr>
            <w:tcW w:type="dxa" w:w="1440"/>
          </w:tcPr>
          <w:p>
            <w:r>
              <w:t>70%</w:t>
            </w:r>
          </w:p>
        </w:tc>
        <w:tc>
          <w:tcPr>
            <w:tcW w:type="dxa" w:w="1440"/>
          </w:tcPr>
          <w:p>
            <w:r>
              <w:t>RM 1,500</w:t>
            </w:r>
          </w:p>
        </w:tc>
      </w:tr>
      <w:tr>
        <w:tc>
          <w:tcPr>
            <w:tcW w:type="dxa" w:w="1440"/>
          </w:tcPr>
          <w:p>
            <w:r>
              <w:t>Gross Monthly Income RM 3,000 to RM 4,999</w:t>
            </w:r>
          </w:p>
        </w:tc>
        <w:tc>
          <w:tcPr>
            <w:tcW w:type="dxa" w:w="1440"/>
          </w:tcPr>
          <w:p>
            <w:r>
              <w:t>3 or more dependants</w:t>
            </w:r>
          </w:p>
        </w:tc>
        <w:tc>
          <w:tcPr>
            <w:tcW w:type="dxa" w:w="1440"/>
          </w:tcPr>
          <w:p>
            <w:r>
              <w:t>12 months active tenure</w:t>
            </w:r>
          </w:p>
        </w:tc>
        <w:tc>
          <w:tcPr>
            <w:tcW w:type="dxa" w:w="1440"/>
          </w:tcPr>
          <w:p>
            <w:r>
              <w:t>2x gross monthly income</w:t>
            </w:r>
          </w:p>
        </w:tc>
        <w:tc>
          <w:tcPr>
            <w:tcW w:type="dxa" w:w="1440"/>
          </w:tcPr>
          <w:p>
            <w:r>
              <w:t>70%</w:t>
            </w:r>
          </w:p>
        </w:tc>
        <w:tc>
          <w:tcPr>
            <w:tcW w:type="dxa" w:w="1440"/>
          </w:tcPr>
          <w:p>
            <w:r>
              <w:t>RM 2,000</w:t>
            </w:r>
          </w:p>
        </w:tc>
      </w:tr>
      <w:tr>
        <w:tc>
          <w:tcPr>
            <w:tcW w:type="dxa" w:w="1440"/>
          </w:tcPr>
          <w:p>
            <w:r>
              <w:t>Gross Monthly Income &gt;= RM 5,000</w:t>
            </w:r>
          </w:p>
        </w:tc>
        <w:tc>
          <w:tcPr>
            <w:tcW w:type="dxa" w:w="1440"/>
          </w:tcPr>
          <w:p>
            <w:r>
              <w:t>0 to 2 dependants</w:t>
            </w:r>
          </w:p>
        </w:tc>
        <w:tc>
          <w:tcPr>
            <w:tcW w:type="dxa" w:w="1440"/>
          </w:tcPr>
          <w:p>
            <w:r>
              <w:t>12 months active tenure</w:t>
            </w:r>
          </w:p>
        </w:tc>
        <w:tc>
          <w:tcPr>
            <w:tcW w:type="dxa" w:w="1440"/>
          </w:tcPr>
          <w:p>
            <w:r>
              <w:t>3x gross monthly income</w:t>
            </w:r>
          </w:p>
        </w:tc>
        <w:tc>
          <w:tcPr>
            <w:tcW w:type="dxa" w:w="1440"/>
          </w:tcPr>
          <w:p>
            <w:r>
              <w:t>70%</w:t>
            </w:r>
          </w:p>
        </w:tc>
        <w:tc>
          <w:tcPr>
            <w:tcW w:type="dxa" w:w="1440"/>
          </w:tcPr>
          <w:p>
            <w:r>
              <w:t>RM 1,500</w:t>
            </w:r>
          </w:p>
        </w:tc>
      </w:tr>
      <w:tr>
        <w:tc>
          <w:tcPr>
            <w:tcW w:type="dxa" w:w="1440"/>
          </w:tcPr>
          <w:p>
            <w:r>
              <w:t>Gross Monthly Income &gt;= RM 5,000</w:t>
            </w:r>
          </w:p>
        </w:tc>
        <w:tc>
          <w:tcPr>
            <w:tcW w:type="dxa" w:w="1440"/>
          </w:tcPr>
          <w:p>
            <w:r>
              <w:t>3 or more dependants</w:t>
            </w:r>
          </w:p>
        </w:tc>
        <w:tc>
          <w:tcPr>
            <w:tcW w:type="dxa" w:w="1440"/>
          </w:tcPr>
          <w:p>
            <w:r>
              <w:t>12 months active tenure</w:t>
            </w:r>
          </w:p>
        </w:tc>
        <w:tc>
          <w:tcPr>
            <w:tcW w:type="dxa" w:w="1440"/>
          </w:tcPr>
          <w:p>
            <w:r>
              <w:t>3x gross monthly income</w:t>
            </w:r>
          </w:p>
        </w:tc>
        <w:tc>
          <w:tcPr>
            <w:tcW w:type="dxa" w:w="1440"/>
          </w:tcPr>
          <w:p>
            <w:r>
              <w:t>70%</w:t>
            </w:r>
          </w:p>
        </w:tc>
        <w:tc>
          <w:tcPr>
            <w:tcW w:type="dxa" w:w="1440"/>
          </w:tcPr>
          <w:p>
            <w:r>
              <w:t>RM 2,000</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SOP-OPS-005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