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POLÍTICA DE COMPRAS Y ADQUISICIONES</w:t>
      </w:r>
    </w:p>
    <w:p>
      <w:pPr>
        <w:jc w:val="center"/>
      </w:pPr>
      <w:r>
        <w:rPr>
          <w:i/>
          <w:color w:val="5B6B78"/>
        </w:rPr>
        <w:t>Lineamientos para solicitar, cotizar, autorizar y recibir bienes y servicios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PO-COM-01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1. OBJETIVO</w:t>
      </w:r>
    </w:p>
    <w:p>
      <w:pPr>
        <w:jc w:val="both"/>
      </w:pPr>
      <w:r>
        <w:rPr>
          <w:b w:val="0"/>
        </w:rPr>
        <w:t xml:space="preserve">Garantizar que las compras de </w:t>
      </w:r>
      <w:r>
        <w:rPr>
          <w:b w:val="0"/>
          <w:highlight w:val="yellow"/>
        </w:rPr>
        <w:t>[NOMBRE DE LA EMPRESA]</w:t>
      </w:r>
      <w:r>
        <w:rPr>
          <w:b w:val="0"/>
        </w:rPr>
        <w:t xml:space="preserve"> se realicen con las mejores condiciones de precio, calidad y servicio, con transparencia, autorización adecuada y soporte documental.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2. ALCANCE</w:t>
      </w:r>
    </w:p>
    <w:p>
      <w:pPr>
        <w:jc w:val="both"/>
      </w:pPr>
      <w:r>
        <w:rPr>
          <w:b w:val="0"/>
        </w:rPr>
        <w:t>Aplica a todas las compras de bienes, materiales, equipo y contratación de servicios, sin importar el área solicitante ni el monto.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3. NIVELES DE AUTORIZACIÓN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402"/>
        <w:gridCol w:w="2551"/>
        <w:gridCol w:w="3402"/>
      </w:tblGrid>
      <w:tr>
        <w:tc>
          <w:tcPr>
            <w:tcW w:type="dxa" w:w="340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Monto de la compra (sin IVA)</w:t>
            </w:r>
          </w:p>
        </w:tc>
        <w:tc>
          <w:tcPr>
            <w:tcW w:type="dxa" w:w="25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Cotizaciones mínimas</w:t>
            </w:r>
          </w:p>
        </w:tc>
        <w:tc>
          <w:tcPr>
            <w:tcW w:type="dxa" w:w="340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Autoriza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</w:rPr>
              <w:t>Hasta $</w:t>
            </w:r>
            <w:r>
              <w:rPr>
                <w:b w:val="0"/>
                <w:highlight w:val="yellow"/>
              </w:rPr>
              <w:t>[MONTO 1]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Jefe de área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</w:rPr>
              <w:t>De $</w:t>
            </w:r>
            <w:r>
              <w:rPr>
                <w:b w:val="0"/>
                <w:highlight w:val="yellow"/>
              </w:rPr>
              <w:t>[MONTO 1]</w:t>
            </w:r>
            <w:r>
              <w:rPr>
                <w:b w:val="0"/>
              </w:rPr>
              <w:t xml:space="preserve"> a $</w:t>
            </w:r>
            <w:r>
              <w:rPr>
                <w:b w:val="0"/>
                <w:highlight w:val="yellow"/>
              </w:rPr>
              <w:t>[MONTO 2]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Gerencia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</w:rPr>
              <w:t>De $</w:t>
            </w:r>
            <w:r>
              <w:rPr>
                <w:b w:val="0"/>
                <w:highlight w:val="yellow"/>
              </w:rPr>
              <w:t>[MONTO 2]</w:t>
            </w:r>
            <w:r>
              <w:rPr>
                <w:b w:val="0"/>
              </w:rPr>
              <w:t xml:space="preserve"> a $</w:t>
            </w:r>
            <w:r>
              <w:rPr>
                <w:b w:val="0"/>
                <w:highlight w:val="yellow"/>
              </w:rPr>
              <w:t>[MONTO 3]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Dirección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</w:rPr>
              <w:t>Mayor a $</w:t>
            </w:r>
            <w:r>
              <w:rPr>
                <w:b w:val="0"/>
                <w:highlight w:val="yellow"/>
              </w:rPr>
              <w:t>[MONTO 3]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</w:rPr>
              <w:t>3 + contrato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</w:rPr>
              <w:t>Dirección y Socios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4. POLÍTICAS GENERALES</w:t>
      </w:r>
    </w:p>
    <w:p>
      <w:pPr>
        <w:pStyle w:val="ListBullet"/>
        <w:jc w:val="both"/>
      </w:pPr>
      <w:r>
        <w:rPr>
          <w:b w:val="0"/>
        </w:rPr>
        <w:t>Ninguna compra se realiza sin requisición autorizada y orden de compra emitida por el área de compras.</w:t>
      </w:r>
    </w:p>
    <w:p>
      <w:pPr>
        <w:pStyle w:val="ListBullet"/>
        <w:jc w:val="both"/>
      </w:pPr>
      <w:r>
        <w:rPr>
          <w:b w:val="0"/>
        </w:rPr>
        <w:t>Se prefiere a proveedores registrados en el padrón; todo proveedor nuevo entrega constancia de situación fiscal, opinión de cumplimiento positiva y datos bancarios.</w:t>
      </w:r>
    </w:p>
    <w:p>
      <w:pPr>
        <w:pStyle w:val="ListBullet"/>
        <w:jc w:val="both"/>
      </w:pPr>
      <w:r>
        <w:rPr>
          <w:b w:val="0"/>
        </w:rPr>
        <w:t>Se evita el fraccionamiento de compras para eludir niveles de autorización.</w:t>
      </w:r>
    </w:p>
    <w:p>
      <w:pPr>
        <w:pStyle w:val="ListBullet"/>
        <w:jc w:val="both"/>
      </w:pPr>
      <w:r>
        <w:rPr>
          <w:b w:val="0"/>
        </w:rPr>
        <w:t>Quien solicita no puede ser quien autoriza ni quien recibe el bien.</w:t>
      </w:r>
    </w:p>
    <w:p>
      <w:pPr>
        <w:pStyle w:val="ListBullet"/>
        <w:jc w:val="both"/>
      </w:pPr>
      <w:r>
        <w:rPr>
          <w:b w:val="0"/>
        </w:rPr>
        <w:t>Los pagos se realizan por transferencia contra factura (CFDI) y entrada de almacén; no se pagan anticipos sin autorización de Dirección.</w:t>
      </w:r>
    </w:p>
    <w:p>
      <w:pPr>
        <w:pStyle w:val="ListBullet"/>
        <w:jc w:val="both"/>
      </w:pPr>
      <w:r>
        <w:rPr>
          <w:b w:val="0"/>
        </w:rPr>
        <w:t>Se evita cualquier conflicto de interés: el personal declara por escrito vínculos familiares o comerciales con proveedores.</w:t>
      </w:r>
    </w:p>
    <w:p>
      <w:pPr>
        <w:pStyle w:val="ListBullet"/>
        <w:jc w:val="both"/>
      </w:pPr>
      <w:r>
        <w:rPr>
          <w:b w:val="0"/>
        </w:rPr>
        <w:t>No se aceptan obsequios de proveedores superiores a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MXN.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5.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área solicitante elabora la requisición con descripción, cantidad y justificación.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Solicitante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Requisición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jefe de área autoriza la requisición.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de área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Requisición firmada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 solicita las cotizaciones según el nivel de monto.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cotización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 integra el cuadro comparativo y recomienda proveedor.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Cuadro comparativo (Excel)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Se autoriza la compra según el nivel de aprobación.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Cuadro firmado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 emite la orden de compra y la envía al proveedor.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Orden de compra (Excel)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Almacén recibe, verifica contra la orden y registra la entrada.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Almacén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Entrada de almacén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Cuentas por pagar concilia orden, entrada y factura (3 vías) y programa el pago.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Cuentas por pagar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Factura / pago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6. EVALUACIÓN DE PROVEEDORES</w:t>
      </w:r>
    </w:p>
    <w:p>
      <w:pPr>
        <w:jc w:val="both"/>
      </w:pPr>
      <w:r>
        <w:rPr>
          <w:b w:val="0"/>
        </w:rPr>
        <w:t>Una vez al año se evalúa a los proveedores principales en cumplimiento de entrega, calidad, precio y atención. Los resultados determinan su permanencia en el padrón.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7. FORMATOS RELACIONADOS</w:t>
      </w:r>
    </w:p>
    <w:p>
      <w:pPr>
        <w:pStyle w:val="ListBullet"/>
        <w:jc w:val="both"/>
      </w:pPr>
      <w:r>
        <w:rPr>
          <w:b w:val="0"/>
        </w:rPr>
        <w:t>Orden de compra (Excel).</w:t>
      </w:r>
    </w:p>
    <w:p>
      <w:pPr>
        <w:pStyle w:val="ListBullet"/>
        <w:jc w:val="both"/>
      </w:pPr>
      <w:r>
        <w:rPr>
          <w:b w:val="0"/>
        </w:rPr>
        <w:t>Cuadro comparativo de cotizaciones (Excel).</w:t>
      </w:r>
    </w:p>
    <w:p>
      <w:pPr>
        <w:pStyle w:val="ListBullet"/>
        <w:jc w:val="both"/>
      </w:pPr>
      <w:r>
        <w:rPr>
          <w:b w:val="0"/>
        </w:rPr>
        <w:t>Directorio de clientes y proveedores (Excel).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c>
          <w:tcPr>
            <w:tcW w:type="dxa" w:w="1134"/>
          </w:tcPr>
          <w:p/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  <w:tc>
          <w:tcPr>
            <w:tcW w:type="dxa" w:w="170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