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p>
      <w:pPr>
        <w:spacing w:after="200"/>
        <w:jc w:val="center"/>
        <w:pBdr>
          <w:bottom w:val="single" w:sz="12" w:space="4" w:color="C9A227"/>
        </w:pBdr>
      </w:pPr>
      <w:r>
        <w:rPr>
          <w:b/>
          <w:color w:val="0B2A4A"/>
          <w:sz w:val="36"/>
        </w:rPr>
        <w:t>POLÍTICA DE VIÁTICOS Y GASTOS DE VIAJE</w:t>
      </w:r>
    </w:p>
    <w:p>
      <w:pPr>
        <w:jc w:val="center"/>
      </w:pPr>
      <w:r>
        <w:rPr>
          <w:i/>
          <w:color w:val="5B6B78"/>
        </w:rPr>
        <w:t>Lineamientos de solicitud, límites, comprobación y reembolso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 DE EMISIÓN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PRÓXIMA REVISIÓN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PO-FIN-02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1B6B73"/>
          <w:sz w:val="22"/>
        </w:rPr>
        <w:t>1. OBJETIVO</w:t>
      </w:r>
    </w:p>
    <w:p>
      <w:pPr>
        <w:jc w:val="both"/>
      </w:pPr>
      <w:r>
        <w:rPr>
          <w:b w:val="0"/>
        </w:rPr>
        <w:t xml:space="preserve">Regular el otorgamiento, uso y comprobación de viáticos y gastos de viaje del personal de </w:t>
      </w:r>
      <w:r>
        <w:rPr>
          <w:b w:val="0"/>
          <w:highlight w:val="yellow"/>
        </w:rPr>
        <w:t>[NOMBRE DE LA EMPRESA]</w:t>
      </w:r>
      <w:r>
        <w:rPr>
          <w:b w:val="0"/>
        </w:rPr>
        <w:t>, asegurando que sean razonables, necesarios y deducibles.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1B6B73"/>
          <w:sz w:val="22"/>
        </w:rPr>
        <w:t>2. ALCANCE</w:t>
      </w:r>
    </w:p>
    <w:p>
      <w:pPr>
        <w:jc w:val="both"/>
      </w:pPr>
      <w:r>
        <w:rPr>
          <w:b w:val="0"/>
        </w:rPr>
        <w:t>Aplica a todo colaborador que deba trasladarse por motivos de trabajo fuera de su lugar habitual de adscripción.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1B6B73"/>
          <w:sz w:val="22"/>
        </w:rPr>
        <w:t>3. LÍMITES AUTORIZADOS POR DÍA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835"/>
        <w:gridCol w:w="2211"/>
        <w:gridCol w:w="2211"/>
        <w:gridCol w:w="2211"/>
      </w:tblGrid>
      <w:tr>
        <w:tc>
          <w:tcPr>
            <w:tcW w:type="dxa" w:w="283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221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Nivel operativo</w:t>
            </w:r>
          </w:p>
        </w:tc>
        <w:tc>
          <w:tcPr>
            <w:tcW w:type="dxa" w:w="221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Nivel gerencial</w:t>
            </w:r>
          </w:p>
        </w:tc>
        <w:tc>
          <w:tcPr>
            <w:tcW w:type="dxa" w:w="221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Nivel directivo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</w:rPr>
              <w:t>Hospedaje (por noche)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</w:rPr>
              <w:t>$</w:t>
            </w:r>
            <w:r>
              <w:rPr>
                <w:b w:val="0"/>
                <w:highlight w:val="yellow"/>
              </w:rPr>
              <w:t>[MONTO]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</w:rPr>
              <w:t>$</w:t>
            </w:r>
            <w:r>
              <w:rPr>
                <w:b w:val="0"/>
                <w:highlight w:val="yellow"/>
              </w:rPr>
              <w:t>[MONTO]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</w:rPr>
              <w:t>$</w:t>
            </w:r>
            <w:r>
              <w:rPr>
                <w:b w:val="0"/>
                <w:highlight w:val="yellow"/>
              </w:rPr>
              <w:t>[MONTO]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</w:rPr>
              <w:t>Alimentos (por día)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</w:rPr>
              <w:t>$</w:t>
            </w:r>
            <w:r>
              <w:rPr>
                <w:b w:val="0"/>
                <w:highlight w:val="yellow"/>
              </w:rPr>
              <w:t>[MONTO]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</w:rPr>
              <w:t>$</w:t>
            </w:r>
            <w:r>
              <w:rPr>
                <w:b w:val="0"/>
                <w:highlight w:val="yellow"/>
              </w:rPr>
              <w:t>[MONTO]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</w:rPr>
              <w:t>$</w:t>
            </w:r>
            <w:r>
              <w:rPr>
                <w:b w:val="0"/>
                <w:highlight w:val="yellow"/>
              </w:rPr>
              <w:t>[MONTO]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</w:rPr>
              <w:t>Transporte local (por día)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</w:rPr>
              <w:t>$</w:t>
            </w:r>
            <w:r>
              <w:rPr>
                <w:b w:val="0"/>
                <w:highlight w:val="yellow"/>
              </w:rPr>
              <w:t>[MONTO]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</w:rPr>
              <w:t>$</w:t>
            </w:r>
            <w:r>
              <w:rPr>
                <w:b w:val="0"/>
                <w:highlight w:val="yellow"/>
              </w:rPr>
              <w:t>[MONTO]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</w:rPr>
              <w:t>$</w:t>
            </w:r>
            <w:r>
              <w:rPr>
                <w:b w:val="0"/>
                <w:highlight w:val="yellow"/>
              </w:rPr>
              <w:t>[MONTO]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</w:rPr>
              <w:t>Transporte aéreo / terrestre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</w:rPr>
              <w:t>Clase turista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</w:rPr>
              <w:t>Clase turista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</w:rPr>
              <w:t>Según autorización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</w:rPr>
              <w:t>Kilometraje (vehículo propio)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</w:rPr>
              <w:t>$</w:t>
            </w:r>
            <w:r>
              <w:rPr>
                <w:b w:val="0"/>
                <w:highlight w:val="yellow"/>
              </w:rPr>
              <w:t>[MONTO]</w:t>
            </w:r>
            <w:r>
              <w:rPr>
                <w:b w:val="0"/>
              </w:rPr>
              <w:t>/km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</w:rPr>
              <w:t>$</w:t>
            </w:r>
            <w:r>
              <w:rPr>
                <w:b w:val="0"/>
                <w:highlight w:val="yellow"/>
              </w:rPr>
              <w:t>[MONTO]</w:t>
            </w:r>
            <w:r>
              <w:rPr>
                <w:b w:val="0"/>
              </w:rPr>
              <w:t>/km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</w:rPr>
              <w:t>$</w:t>
            </w:r>
            <w:r>
              <w:rPr>
                <w:b w:val="0"/>
                <w:highlight w:val="yellow"/>
              </w:rPr>
              <w:t>[MONTO]</w:t>
            </w:r>
            <w:r>
              <w:rPr>
                <w:b w:val="0"/>
              </w:rPr>
              <w:t>/km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1B6B73"/>
          <w:sz w:val="22"/>
        </w:rPr>
        <w:t>4. POLÍTICAS</w:t>
      </w:r>
    </w:p>
    <w:p>
      <w:pPr>
        <w:pStyle w:val="ListBullet"/>
        <w:jc w:val="both"/>
      </w:pPr>
      <w:r>
        <w:rPr>
          <w:b w:val="0"/>
        </w:rPr>
        <w:t>Todo viaje debe contar con autorización previa del jefe inmediato mediante la solicitud de viáticos.</w:t>
      </w:r>
    </w:p>
    <w:p>
      <w:pPr>
        <w:pStyle w:val="ListBullet"/>
        <w:jc w:val="both"/>
      </w:pPr>
      <w:r>
        <w:rPr>
          <w:b w:val="0"/>
        </w:rPr>
        <w:t xml:space="preserve">Se reservan boletos y hospedaje con al menos </w:t>
      </w:r>
      <w:r>
        <w:rPr>
          <w:b w:val="0"/>
          <w:highlight w:val="yellow"/>
        </w:rPr>
        <w:t>[7]</w:t>
      </w:r>
      <w:r>
        <w:rPr>
          <w:b w:val="0"/>
        </w:rPr>
        <w:t xml:space="preserve"> días de anticipación para obtener mejores tarifas.</w:t>
      </w:r>
    </w:p>
    <w:p>
      <w:pPr>
        <w:pStyle w:val="ListBullet"/>
        <w:jc w:val="both"/>
      </w:pPr>
      <w:r>
        <w:rPr>
          <w:b w:val="0"/>
        </w:rPr>
        <w:t xml:space="preserve">No son reembolsables multas, bebidas alcohólicas, gastos personales, propinas por encima del </w:t>
      </w:r>
      <w:r>
        <w:rPr>
          <w:b w:val="0"/>
          <w:highlight w:val="yellow"/>
        </w:rPr>
        <w:t>[10]</w:t>
      </w:r>
      <w:r>
        <w:rPr>
          <w:b w:val="0"/>
        </w:rPr>
        <w:t>% ni gastos de acompañantes.</w:t>
      </w:r>
    </w:p>
    <w:p>
      <w:pPr>
        <w:pStyle w:val="ListBullet"/>
        <w:jc w:val="both"/>
      </w:pPr>
      <w:r>
        <w:rPr>
          <w:b w:val="0"/>
        </w:rPr>
        <w:t xml:space="preserve">Los gastos se comprueban con CFDI a nombre de la empresa dentro de los </w:t>
      </w:r>
      <w:r>
        <w:rPr>
          <w:b w:val="0"/>
          <w:highlight w:val="yellow"/>
        </w:rPr>
        <w:t>[5]</w:t>
      </w:r>
      <w:r>
        <w:rPr>
          <w:b w:val="0"/>
        </w:rPr>
        <w:t xml:space="preserve"> días hábiles posteriores al regreso.</w:t>
      </w:r>
    </w:p>
    <w:p>
      <w:pPr>
        <w:pStyle w:val="ListBullet"/>
        <w:jc w:val="both"/>
      </w:pPr>
      <w:r>
        <w:rPr>
          <w:b w:val="0"/>
        </w:rPr>
        <w:t xml:space="preserve">Los gastos sin factura se comprueban con nota firmada y no excederán el </w:t>
      </w:r>
      <w:r>
        <w:rPr>
          <w:b w:val="0"/>
          <w:highlight w:val="yellow"/>
        </w:rPr>
        <w:t>[10]</w:t>
      </w:r>
      <w:r>
        <w:rPr>
          <w:b w:val="0"/>
        </w:rPr>
        <w:t>% del total del viaje.</w:t>
      </w:r>
    </w:p>
    <w:p>
      <w:pPr>
        <w:pStyle w:val="ListBullet"/>
        <w:jc w:val="both"/>
      </w:pPr>
      <w:r>
        <w:rPr>
          <w:b w:val="0"/>
        </w:rPr>
        <w:t>El anticipo no comprobado se descuenta vía nómina, previa autorización del colaborador.</w:t>
      </w:r>
    </w:p>
    <w:p>
      <w:pPr>
        <w:pStyle w:val="ListBullet"/>
        <w:jc w:val="both"/>
      </w:pPr>
      <w:r>
        <w:rPr>
          <w:b w:val="0"/>
        </w:rPr>
        <w:t>Los saldos a favor del colaborador se reembolsan en la siguiente dispersión de pagos.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1B6B73"/>
          <w:sz w:val="22"/>
        </w:rPr>
        <w:t>5. 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680"/>
        <w:gridCol w:w="4989"/>
        <w:gridCol w:w="1814"/>
        <w:gridCol w:w="1871"/>
      </w:tblGrid>
      <w:tr>
        <w:tc>
          <w:tcPr>
            <w:tcW w:type="dxa" w:w="680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498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81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87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Registro / formato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El colaborador llena la solicitud de viáticos con destino, fechas, objetivo y presupuesto.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Colaborador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Solicitud de viáticos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El jefe inmediato autoriza y Finanzas entrega el anticipo.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Jefe / Finanzas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Solicitud firmada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El colaborador realiza el viaje y conserva todos los comprobantes.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Colaborador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Facturas / tickets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 su regreso llena el informe de gastos y adjunta los comprobantes.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Colaborador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Informe de gastos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Finanzas revisa, concilia el anticipo y registra la comprobación.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Finanzas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Póliza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 reembolsa o descuenta la diferencia.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Finanzas / Nómina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Transferencia / recibo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1B6B73"/>
          <w:sz w:val="22"/>
        </w:rPr>
        <w:t>6. FORMATOS RELACIONADOS</w:t>
      </w:r>
    </w:p>
    <w:p>
      <w:pPr>
        <w:pStyle w:val="ListBullet"/>
        <w:jc w:val="both"/>
      </w:pPr>
      <w:r>
        <w:rPr>
          <w:b w:val="0"/>
        </w:rPr>
        <w:t>Solicitud de viáticos.</w:t>
      </w:r>
    </w:p>
    <w:p>
      <w:pPr>
        <w:pStyle w:val="ListBullet"/>
        <w:jc w:val="both"/>
      </w:pPr>
      <w:r>
        <w:rPr>
          <w:b w:val="0"/>
        </w:rPr>
        <w:t>Informe de gastos de viaje.</w:t>
      </w:r>
    </w:p>
    <w:p>
      <w:pPr>
        <w:pStyle w:val="ListBullet"/>
        <w:jc w:val="both"/>
      </w:pPr>
      <w:r>
        <w:rPr>
          <w:b w:val="0"/>
        </w:rPr>
        <w:t>Control de ingresos y gastos (Excel).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1B6B73"/>
          <w:sz w:val="22"/>
        </w:rPr>
        <w:t>CONTROL DE CAMBIOS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1134"/>
        <w:gridCol w:w="1701"/>
        <w:gridCol w:w="4819"/>
        <w:gridCol w:w="1701"/>
      </w:tblGrid>
      <w:tr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481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Descripción del cambio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Elaboró</w:t>
            </w:r>
          </w:p>
        </w:tc>
      </w:tr>
      <w:tr>
        <w:tc>
          <w:tcPr>
            <w:tcW w:type="dxa" w:w="1134"/>
          </w:tcPr>
          <w:p>
            <w:r>
              <w:t>1.0</w:t>
            </w:r>
          </w:p>
        </w:tc>
        <w:tc>
          <w:tcPr>
            <w:tcW w:type="dxa" w:w="1701"/>
          </w:tcPr>
          <w:p>
            <w:r>
              <w:t>[FECHA]</w:t>
            </w:r>
          </w:p>
        </w:tc>
        <w:tc>
          <w:tcPr>
            <w:tcW w:type="dxa" w:w="4819"/>
          </w:tcPr>
          <w:p>
            <w:r>
              <w:t>Emisión inicial</w:t>
            </w:r>
          </w:p>
        </w:tc>
        <w:tc>
          <w:tcPr>
            <w:tcW w:type="dxa" w:w="1701"/>
          </w:tcPr>
          <w:p>
            <w:r>
              <w:t>[NOMBRE]</w:t>
            </w:r>
          </w:p>
        </w:tc>
      </w:tr>
      <w:tr>
        <w:tc>
          <w:tcPr>
            <w:tcW w:type="dxa" w:w="1134"/>
          </w:tcPr>
          <w:p/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  <w:tc>
          <w:tcPr>
            <w:tcW w:type="dxa" w:w="1701"/>
          </w:tcPr>
          <w:p/>
        </w:tc>
      </w:tr>
    </w:tbl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Elaboró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Revisó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Autorizó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badi" w:hAnsi="Abadi" w:eastAsia="Abad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