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PROCEDIMIENTO DE CONTROL DE INVENTARIOS</w:t>
      </w:r>
    </w:p>
    <w:p>
      <w:pPr>
        <w:jc w:val="center"/>
      </w:pPr>
      <w:r>
        <w:rPr>
          <w:i/>
          <w:color w:val="5B6B78"/>
        </w:rPr>
        <w:t>Recepción, resguardo, salidas, conteos físicos y ajustes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PR-ALM-01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1. OBJETIVO</w:t>
      </w:r>
    </w:p>
    <w:p>
      <w:pPr>
        <w:jc w:val="both"/>
      </w:pPr>
      <w:r>
        <w:rPr>
          <w:b w:val="0"/>
        </w:rPr>
        <w:t xml:space="preserve">Definir las actividades para recibir, almacenar, entregar y controlar los inventarios de </w:t>
      </w:r>
      <w:r>
        <w:rPr>
          <w:b w:val="0"/>
          <w:highlight w:val="yellow"/>
        </w:rPr>
        <w:t>[NOMBRE DE LA EMPRESA]</w:t>
      </w:r>
      <w:r>
        <w:rPr>
          <w:b w:val="0"/>
        </w:rPr>
        <w:t>, asegurando que las existencias en sistema coincidan con las físicas y que las diferencias se investiguen y corrijan.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2. ALCANCE</w:t>
      </w:r>
    </w:p>
    <w:p>
      <w:pPr>
        <w:jc w:val="both"/>
      </w:pPr>
      <w:r>
        <w:rPr>
          <w:b w:val="0"/>
        </w:rPr>
        <w:t>Aplica a almacenes, bodegas y áreas que resguarden materiales, productos terminados, refacciones o consumibles.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3. POLÍTICAS</w:t>
      </w:r>
    </w:p>
    <w:p>
      <w:pPr>
        <w:pStyle w:val="ListBullet"/>
        <w:jc w:val="both"/>
      </w:pPr>
      <w:r>
        <w:rPr>
          <w:b w:val="0"/>
        </w:rPr>
        <w:t>Todo producto tiene código único (SKU), descripción, unidad de medida y ubicación asignada.</w:t>
      </w:r>
    </w:p>
    <w:p>
      <w:pPr>
        <w:pStyle w:val="ListBullet"/>
        <w:jc w:val="both"/>
      </w:pPr>
      <w:r>
        <w:rPr>
          <w:b w:val="0"/>
        </w:rPr>
        <w:t>Ninguna entrada o salida se realiza sin documento de respaldo (orden de compra, remisión, requisición o nota de devolución).</w:t>
      </w:r>
    </w:p>
    <w:p>
      <w:pPr>
        <w:pStyle w:val="ListBullet"/>
        <w:jc w:val="both"/>
      </w:pPr>
      <w:r>
        <w:rPr>
          <w:b w:val="0"/>
        </w:rPr>
        <w:t>El acceso al almacén está restringido al personal autorizado; los visitantes son acompañados.</w:t>
      </w:r>
    </w:p>
    <w:p>
      <w:pPr>
        <w:pStyle w:val="ListBullet"/>
        <w:jc w:val="both"/>
      </w:pPr>
      <w:r>
        <w:rPr>
          <w:b w:val="0"/>
        </w:rPr>
        <w:t xml:space="preserve">Se define un stock mínimo y máximo por producto, revisado cada </w:t>
      </w:r>
      <w:r>
        <w:rPr>
          <w:b w:val="0"/>
          <w:highlight w:val="yellow"/>
        </w:rPr>
        <w:t>[trimestre]</w:t>
      </w:r>
      <w:r>
        <w:rPr>
          <w:b w:val="0"/>
        </w:rPr>
        <w:t>.</w:t>
      </w:r>
    </w:p>
    <w:p>
      <w:pPr>
        <w:pStyle w:val="ListBullet"/>
        <w:jc w:val="both"/>
      </w:pPr>
      <w:r>
        <w:rPr>
          <w:b w:val="0"/>
        </w:rPr>
        <w:t xml:space="preserve">Se realiza inventario físico general al menos </w:t>
      </w:r>
      <w:r>
        <w:rPr>
          <w:b w:val="0"/>
          <w:highlight w:val="yellow"/>
        </w:rPr>
        <w:t>[dos]</w:t>
      </w:r>
      <w:r>
        <w:rPr>
          <w:b w:val="0"/>
        </w:rPr>
        <w:t xml:space="preserve"> veces al año y conteos cíclicos mensuales por clasificación ABC.</w:t>
      </w:r>
    </w:p>
    <w:p>
      <w:pPr>
        <w:pStyle w:val="ListBullet"/>
        <w:jc w:val="both"/>
      </w:pPr>
      <w:r>
        <w:rPr>
          <w:b w:val="0"/>
        </w:rPr>
        <w:t xml:space="preserve">Las diferencias superiores a </w:t>
      </w:r>
      <w:r>
        <w:rPr>
          <w:b w:val="0"/>
          <w:highlight w:val="yellow"/>
        </w:rPr>
        <w:t>[2]</w:t>
      </w:r>
      <w:r>
        <w:rPr>
          <w:b w:val="0"/>
        </w:rPr>
        <w:t>% del valor se investigan antes de ajustarse; todo ajuste requiere autorización de Gerencia.</w:t>
      </w:r>
    </w:p>
    <w:p>
      <w:pPr>
        <w:pStyle w:val="ListBullet"/>
        <w:jc w:val="both"/>
      </w:pPr>
      <w:r>
        <w:rPr>
          <w:b w:val="0"/>
        </w:rPr>
        <w:t>El método de valuación es costo promedio ponderado.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4. PROCEDIMIENTO DE RECEPCIÓN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Recibir al transportista y verificar documentos (factura, remisión) contra la orden de compra.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Orden de compra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Contar físicamente y revisar calidad, empaque y caducidad.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Reporte de recepción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Registrar la entrada en el sistema o kardex y ubicar el producto.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Kardex / Control de inventario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Enviar copia a Cuentas por pagar y reportar diferencias o daños.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Entrada de almacén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5. PROCEDIMIENTO DE SALIDAS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área solicita material mediante requisición autorizada.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Área solicitante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Requisición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El almacenista verifica existencia, surte y recaba firma de quien recibe.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Vale de salida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Registra la salida y actualiza existencias.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Kardex / Control de inventario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Si la existencia llega al mínimo, genera aviso para reabasto.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Almacenista / Compras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Control de inventario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6. CONTEO FÍSICO Y AJUSTES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680"/>
        <w:gridCol w:w="4989"/>
        <w:gridCol w:w="1814"/>
        <w:gridCol w:w="1871"/>
      </w:tblGrid>
      <w:tr>
        <w:tc>
          <w:tcPr>
            <w:tcW w:type="dxa" w:w="680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498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Actividad</w:t>
            </w:r>
          </w:p>
        </w:tc>
        <w:tc>
          <w:tcPr>
            <w:tcW w:type="dxa" w:w="181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87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Registro / formato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Congelar movimientos del área a contar y definir equipos de conteo independientes.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Contraloría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Programa de conteo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Realizar el primer conteo y, de existir diferencias, un reconteo.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Equipos de conteo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Hoja de conteo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Comparar contra sistema, investigar causas y proponer ajustes.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Contraloría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Reporte de diferencias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989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Autorizar y registrar ajustes con póliza y justificación.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Gerencia / Contabilidad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 w:val="0"/>
                <w:sz w:val="19"/>
              </w:rPr>
              <w:t>Póliza de ajuste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7. FORMATOS RELACIONADOS</w:t>
      </w:r>
    </w:p>
    <w:p>
      <w:pPr>
        <w:pStyle w:val="ListBullet"/>
        <w:jc w:val="both"/>
      </w:pPr>
      <w:r>
        <w:rPr>
          <w:b w:val="0"/>
        </w:rPr>
        <w:t>Control de inventario (Excel).</w:t>
      </w:r>
    </w:p>
    <w:p>
      <w:pPr>
        <w:pStyle w:val="ListBullet"/>
        <w:jc w:val="both"/>
      </w:pPr>
      <w:r>
        <w:rPr>
          <w:b w:val="0"/>
        </w:rPr>
        <w:t>Kardex de costo promedio (Excel).</w:t>
      </w:r>
    </w:p>
    <w:p>
      <w:pPr>
        <w:pStyle w:val="ListBullet"/>
        <w:jc w:val="both"/>
      </w:pPr>
      <w:r>
        <w:rPr>
          <w:b w:val="0"/>
        </w:rPr>
        <w:t>Orden de compra (Excel).</w:t>
      </w:r>
    </w:p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1B6B73"/>
          <w:sz w:val="22"/>
        </w:rPr>
        <w:t>CONTROL DE CAMBIOS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134"/>
        <w:gridCol w:w="1701"/>
        <w:gridCol w:w="4819"/>
        <w:gridCol w:w="1701"/>
      </w:tblGrid>
      <w:tr>
        <w:tc>
          <w:tcPr>
            <w:tcW w:type="dxa" w:w="1134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Versión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</w:t>
            </w:r>
          </w:p>
        </w:tc>
        <w:tc>
          <w:tcPr>
            <w:tcW w:type="dxa" w:w="4819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Descripción del cambio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Elaboró</w:t>
            </w:r>
          </w:p>
        </w:tc>
      </w:tr>
      <w:tr>
        <w:tc>
          <w:tcPr>
            <w:tcW w:type="dxa" w:w="1134"/>
          </w:tcPr>
          <w:p>
            <w:r>
              <w:t>1.0</w:t>
            </w:r>
          </w:p>
        </w:tc>
        <w:tc>
          <w:tcPr>
            <w:tcW w:type="dxa" w:w="1701"/>
          </w:tcPr>
          <w:p>
            <w:r>
              <w:t>[FECHA]</w:t>
            </w:r>
          </w:p>
        </w:tc>
        <w:tc>
          <w:tcPr>
            <w:tcW w:type="dxa" w:w="4819"/>
          </w:tcPr>
          <w:p>
            <w:r>
              <w:t>Emisión inicial</w:t>
            </w:r>
          </w:p>
        </w:tc>
        <w:tc>
          <w:tcPr>
            <w:tcW w:type="dxa" w:w="1701"/>
          </w:tcPr>
          <w:p>
            <w:r>
              <w:t>[NOMBRE]</w:t>
            </w:r>
          </w:p>
        </w:tc>
      </w:tr>
      <w:tr>
        <w:tc>
          <w:tcPr>
            <w:tcW w:type="dxa" w:w="1134"/>
          </w:tcPr>
          <w:p/>
        </w:tc>
        <w:tc>
          <w:tcPr>
            <w:tcW w:type="dxa" w:w="1701"/>
          </w:tcPr>
          <w:p/>
        </w:tc>
        <w:tc>
          <w:tcPr>
            <w:tcW w:type="dxa" w:w="4819"/>
          </w:tcPr>
          <w:p/>
        </w:tc>
        <w:tc>
          <w:tcPr>
            <w:tcW w:type="dxa" w:w="1701"/>
          </w:tcPr>
          <w:p/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Elaboró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Revisó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Autorizó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