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p>
      <w:pPr>
        <w:spacing w:after="200"/>
        <w:jc w:val="center"/>
        <w:pBdr>
          <w:bottom w:val="single" w:sz="12" w:space="4" w:color="C9A227"/>
        </w:pBdr>
      </w:pPr>
      <w:r>
        <w:rPr>
          <w:b/>
          <w:color w:val="0B2A4A"/>
          <w:sz w:val="36"/>
        </w:rPr>
        <w:t>MANUAL DE PROCEDIMIENTO DE CAJA CHICA</w:t>
      </w:r>
    </w:p>
    <w:p>
      <w:pPr>
        <w:jc w:val="center"/>
      </w:pPr>
      <w:r>
        <w:rPr>
          <w:i/>
          <w:color w:val="5B6B78"/>
        </w:rPr>
        <w:t>Fondo fijo: apertura, operación, arqueo y reposición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 DE EMISIÓN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PRÓXIMA REVISIÓN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MP-ADM-01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1. OBJETIVO</w:t>
      </w:r>
    </w:p>
    <w:p>
      <w:pPr>
        <w:jc w:val="both"/>
      </w:pPr>
      <w:r>
        <w:rPr>
          <w:b w:val="0"/>
        </w:rPr>
        <w:t xml:space="preserve">Establecer las reglas para el manejo, control y reposición del fondo fijo de caja chica de </w:t>
      </w:r>
      <w:r>
        <w:rPr>
          <w:b w:val="0"/>
          <w:highlight w:val="yellow"/>
        </w:rPr>
        <w:t>[NOMBRE DE LA EMPRESA]</w:t>
      </w:r>
      <w:r>
        <w:rPr>
          <w:b w:val="0"/>
        </w:rPr>
        <w:t>, con el fin de atender gastos menores e imprevistos de forma ágil, con comprobación suficiente y sin riesgo de pérdida de recursos.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2. ALCANCE</w:t>
      </w:r>
    </w:p>
    <w:p>
      <w:pPr>
        <w:jc w:val="both"/>
      </w:pPr>
      <w:r>
        <w:rPr>
          <w:b w:val="0"/>
        </w:rPr>
        <w:t>Aplica a todas las áreas que soliciten recursos de caja chica y al personal responsable de su custodia, autorización y registro contable.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3. DEFINICIONES</w:t>
      </w:r>
    </w:p>
    <w:p>
      <w:pPr>
        <w:pStyle w:val="ListBullet"/>
        <w:jc w:val="both"/>
      </w:pPr>
      <w:r>
        <w:rPr>
          <w:b/>
        </w:rPr>
        <w:t>Fondo fijo:</w:t>
      </w:r>
      <w:r>
        <w:rPr>
          <w:b w:val="0"/>
        </w:rPr>
        <w:t xml:space="preserve"> monto autorizado por Dirección que se mantiene constante mediante reposiciones.</w:t>
      </w:r>
    </w:p>
    <w:p>
      <w:pPr>
        <w:pStyle w:val="ListBullet"/>
        <w:jc w:val="both"/>
      </w:pPr>
      <w:r>
        <w:rPr>
          <w:b/>
        </w:rPr>
        <w:t>Vale provisional:</w:t>
      </w:r>
      <w:r>
        <w:rPr>
          <w:b w:val="0"/>
        </w:rPr>
        <w:t xml:space="preserve"> documento interno firmado por quien recibe el efectivo, mientras entrega su comprobante.</w:t>
      </w:r>
    </w:p>
    <w:p>
      <w:pPr>
        <w:pStyle w:val="ListBullet"/>
        <w:jc w:val="both"/>
      </w:pPr>
      <w:r>
        <w:rPr>
          <w:b/>
        </w:rPr>
        <w:t>Arqueo:</w:t>
      </w:r>
      <w:r>
        <w:rPr>
          <w:b w:val="0"/>
        </w:rPr>
        <w:t xml:space="preserve"> conteo físico del efectivo y los comprobantes para compararlos contra el fondo autorizado.</w:t>
      </w:r>
    </w:p>
    <w:p>
      <w:pPr>
        <w:pStyle w:val="ListBullet"/>
        <w:jc w:val="both"/>
      </w:pPr>
      <w:r>
        <w:rPr>
          <w:b/>
        </w:rPr>
        <w:t>Reposición:</w:t>
      </w:r>
      <w:r>
        <w:rPr>
          <w:b w:val="0"/>
        </w:rPr>
        <w:t xml:space="preserve"> reembolso del efectivo gastado, contra comprobantes autorizados.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4. RESPONSABLES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680"/>
        <w:gridCol w:w="4989"/>
        <w:gridCol w:w="1814"/>
        <w:gridCol w:w="1871"/>
      </w:tblGrid>
      <w:tr>
        <w:tc>
          <w:tcPr>
            <w:tcW w:type="dxa" w:w="680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498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181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87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Registro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Autorizar apertura, monto y reposiciones del fondo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Dirección / Finanzas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Acta de autorización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Custodiar el fondo y operar el procedimiento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Custodio de caja chica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Bitácora de caja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Autorizar gastos de su área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Jefe de área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Vale provisional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Registrar contablemente y reponer el fondo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Contabilidad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Póliza de gastos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5. POLÍTICAS</w:t>
      </w:r>
    </w:p>
    <w:p>
      <w:pPr>
        <w:pStyle w:val="ListBullet"/>
        <w:jc w:val="both"/>
      </w:pPr>
      <w:r>
        <w:rPr>
          <w:b w:val="0"/>
        </w:rPr>
        <w:t>El fondo fijo será de $</w:t>
      </w:r>
      <w:r>
        <w:rPr>
          <w:b w:val="0"/>
          <w:highlight w:val="yellow"/>
        </w:rPr>
        <w:t>[MONTO]</w:t>
      </w:r>
      <w:r>
        <w:rPr>
          <w:b w:val="0"/>
        </w:rPr>
        <w:t xml:space="preserve"> MXN y se asignará por escrito a una sola persona responsable.</w:t>
      </w:r>
    </w:p>
    <w:p>
      <w:pPr>
        <w:pStyle w:val="ListBullet"/>
        <w:jc w:val="both"/>
      </w:pPr>
      <w:r>
        <w:rPr>
          <w:b w:val="0"/>
        </w:rPr>
        <w:t>El monto máximo por gasto individual es de $</w:t>
      </w:r>
      <w:r>
        <w:rPr>
          <w:b w:val="0"/>
          <w:highlight w:val="yellow"/>
        </w:rPr>
        <w:t>[MONTO]</w:t>
      </w:r>
      <w:r>
        <w:rPr>
          <w:b w:val="0"/>
        </w:rPr>
        <w:t xml:space="preserve"> MXN; los gastos mayores se tramitan por el procedimiento de compras.</w:t>
      </w:r>
    </w:p>
    <w:p>
      <w:pPr>
        <w:pStyle w:val="ListBullet"/>
        <w:jc w:val="both"/>
      </w:pPr>
      <w:r>
        <w:rPr>
          <w:b w:val="0"/>
        </w:rPr>
        <w:t>Solo se pagan gastos menores, urgentes y no recurrentes. No se otorgan préstamos personales ni se cambian cheques.</w:t>
      </w:r>
    </w:p>
    <w:p>
      <w:pPr>
        <w:pStyle w:val="ListBullet"/>
        <w:jc w:val="both"/>
      </w:pPr>
      <w:r>
        <w:rPr>
          <w:b w:val="0"/>
        </w:rPr>
        <w:t>Todo desembolso requiere vale provisional autorizado y comprobante fiscal (CFDI) o, en su defecto, nota con los datos del gasto.</w:t>
      </w:r>
    </w:p>
    <w:p>
      <w:pPr>
        <w:pStyle w:val="ListBullet"/>
        <w:jc w:val="both"/>
      </w:pPr>
      <w:r>
        <w:rPr>
          <w:b w:val="0"/>
        </w:rPr>
        <w:t xml:space="preserve">Los comprobantes se entregan en un máximo de </w:t>
      </w:r>
      <w:r>
        <w:rPr>
          <w:b w:val="0"/>
          <w:highlight w:val="yellow"/>
        </w:rPr>
        <w:t>[2]</w:t>
      </w:r>
      <w:r>
        <w:rPr>
          <w:b w:val="0"/>
        </w:rPr>
        <w:t xml:space="preserve"> días hábiles; los vales sin comprobar se descuentan vía nómina previa autorización del colaborador.</w:t>
      </w:r>
    </w:p>
    <w:p>
      <w:pPr>
        <w:pStyle w:val="ListBullet"/>
        <w:jc w:val="both"/>
      </w:pPr>
      <w:r>
        <w:rPr>
          <w:b w:val="0"/>
        </w:rPr>
        <w:t>El fondo se repone cuando alcance el 30% del monto autorizado o al cierre de mes, lo que ocurra primero.</w:t>
      </w:r>
    </w:p>
    <w:p>
      <w:pPr>
        <w:pStyle w:val="ListBullet"/>
        <w:jc w:val="both"/>
      </w:pPr>
      <w:r>
        <w:rPr>
          <w:b w:val="0"/>
        </w:rPr>
        <w:t>El efectivo se guarda bajo llave; el custodio no puede ser quien autoriza ni quien registra contablemente.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6. 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680"/>
        <w:gridCol w:w="4989"/>
        <w:gridCol w:w="1814"/>
        <w:gridCol w:w="1871"/>
      </w:tblGrid>
      <w:tr>
        <w:tc>
          <w:tcPr>
            <w:tcW w:type="dxa" w:w="680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498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81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87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Registro / formato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El solicitante llena el vale provisional con concepto, importe y área y lo firma su jefe inmediato.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Solicitante / Jefe de área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Vale provisional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El custodio verifica autorización y monto, entrega el efectivo y registra el movimiento.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Custodio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Control de caja chica (Excel)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El solicitante compra y entrega comprobante y cambio en el plazo establecido.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Solicitante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Factura / ticket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El custodio cancela el vale, anexa el comprobante y actualiza el saldo.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Custodio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Control de caja chica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Cuando se alcance el nivel de reposición, el custodio integra los comprobantes y solicita el reembolso.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Custodio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Solicitud de reposición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Finanzas revisa, autoriza y emite el pago; Contabilidad registra.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Finanzas / Contabilidad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Póliza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 realiza arqueo sorpresa mensual; la diferencia debe ser cero y se documenta.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Finanzas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Acta de arqueo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7. FORMATOS RELACIONADOS</w:t>
      </w:r>
    </w:p>
    <w:p>
      <w:pPr>
        <w:pStyle w:val="ListBullet"/>
        <w:jc w:val="both"/>
      </w:pPr>
      <w:r>
        <w:rPr>
          <w:b w:val="0"/>
        </w:rPr>
        <w:t>Control de caja chica (Excel).</w:t>
      </w:r>
    </w:p>
    <w:p>
      <w:pPr>
        <w:pStyle w:val="ListBullet"/>
        <w:jc w:val="both"/>
      </w:pPr>
      <w:r>
        <w:rPr>
          <w:b w:val="0"/>
        </w:rPr>
        <w:t>Vale provisional de caja.</w:t>
      </w:r>
    </w:p>
    <w:p>
      <w:pPr>
        <w:pStyle w:val="ListBullet"/>
        <w:jc w:val="both"/>
      </w:pPr>
      <w:r>
        <w:rPr>
          <w:b w:val="0"/>
        </w:rPr>
        <w:t>Acta de arqueo de caja.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CONTROL DE CAMBIOS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1134"/>
        <w:gridCol w:w="1701"/>
        <w:gridCol w:w="4819"/>
        <w:gridCol w:w="1701"/>
      </w:tblGrid>
      <w:tr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81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Descripción del cambio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Elaboró</w:t>
            </w:r>
          </w:p>
        </w:tc>
      </w:tr>
      <w:tr>
        <w:tc>
          <w:tcPr>
            <w:tcW w:type="dxa" w:w="1134"/>
          </w:tcPr>
          <w:p>
            <w:r>
              <w:t>1.0</w:t>
            </w:r>
          </w:p>
        </w:tc>
        <w:tc>
          <w:tcPr>
            <w:tcW w:type="dxa" w:w="1701"/>
          </w:tcPr>
          <w:p>
            <w:r>
              <w:t>[FECHA]</w:t>
            </w:r>
          </w:p>
        </w:tc>
        <w:tc>
          <w:tcPr>
            <w:tcW w:type="dxa" w:w="4819"/>
          </w:tcPr>
          <w:p>
            <w:r>
              <w:t>Emisión inicial</w:t>
            </w:r>
          </w:p>
        </w:tc>
        <w:tc>
          <w:tcPr>
            <w:tcW w:type="dxa" w:w="1701"/>
          </w:tcPr>
          <w:p>
            <w:r>
              <w:t>[NOMBRE]</w:t>
            </w:r>
          </w:p>
        </w:tc>
      </w:tr>
      <w:tr>
        <w:tc>
          <w:tcPr>
            <w:tcW w:type="dxa" w:w="1134"/>
          </w:tcPr>
          <w:p/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  <w:tc>
          <w:tcPr>
            <w:tcW w:type="dxa" w:w="1701"/>
          </w:tcPr>
          <w:p/>
        </w:tc>
      </w:tr>
    </w:tbl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Elaboró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Revisó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Autorizó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badi" w:hAnsi="Abadi" w:eastAsia="Abad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