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POLÍTICA DE VIÁTICOS Y GASTOS DE VIAJE</w:t>
      </w:r>
    </w:p>
    <w:p>
      <w:pPr>
        <w:jc w:val="center"/>
      </w:pPr>
      <w:r>
        <w:rPr>
          <w:i/>
          <w:color w:val="5B6B78"/>
        </w:rPr>
        <w:t>Lineamientos de solicitud, límites, comprobación y reembolso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PO-FIN-02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Regular el otorgamiento, uso y comprobación de viáticos y gastos de viaje del personal de </w:t>
      </w:r>
      <w:r>
        <w:rPr>
          <w:b w:val="0"/>
          <w:highlight w:val="yellow"/>
        </w:rPr>
        <w:t>[NOMBRE DE LA EMPRESA]</w:t>
      </w:r>
      <w:r>
        <w:rPr>
          <w:b w:val="0"/>
        </w:rPr>
        <w:t>, asegurando que sean razonables, necesarios y deducibles.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todo colaborador que deba trasladarse por motivos de trabajo fuera de su lugar habitual de adscripción.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LÍMITES AUTORIZADOS POR DÍA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2835"/>
        <w:gridCol w:w="2211"/>
        <w:gridCol w:w="2211"/>
        <w:gridCol w:w="2211"/>
      </w:tblGrid>
      <w:tr>
        <w:tc>
          <w:tcPr>
            <w:tcW w:type="dxa" w:w="28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Concepto</w:t>
            </w:r>
          </w:p>
        </w:tc>
        <w:tc>
          <w:tcPr>
            <w:tcW w:type="dxa" w:w="221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operativo</w:t>
            </w:r>
          </w:p>
        </w:tc>
        <w:tc>
          <w:tcPr>
            <w:tcW w:type="dxa" w:w="221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gerencial</w:t>
            </w:r>
          </w:p>
        </w:tc>
        <w:tc>
          <w:tcPr>
            <w:tcW w:type="dxa" w:w="221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directivo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</w:rPr>
              <w:t>Hospedaje (por noche)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</w:rPr>
              <w:t>Alimentos (por día)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</w:rPr>
              <w:t>Transporte local (por día)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</w:rPr>
              <w:t>Transporte aéreo / terrestre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Clase turista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Clase turista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Según autorización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</w:rPr>
              <w:t>Kilometraje (vehículo propio)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  <w:r>
              <w:rPr>
                <w:b w:val="0"/>
              </w:rPr>
              <w:t>/km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  <w:r>
              <w:rPr>
                <w:b w:val="0"/>
              </w:rPr>
              <w:t>/km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  <w:r>
              <w:rPr>
                <w:b w:val="0"/>
              </w:rPr>
              <w:t>/km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POLÍTICAS</w:t>
      </w:r>
    </w:p>
    <w:p>
      <w:pPr>
        <w:pStyle w:val="ListBullet"/>
        <w:jc w:val="both"/>
      </w:pPr>
      <w:r>
        <w:rPr>
          <w:b w:val="0"/>
        </w:rPr>
        <w:t>Todo viaje debe contar con autorización previa del jefe inmediato mediante la solicitud de viáticos.</w:t>
      </w:r>
    </w:p>
    <w:p>
      <w:pPr>
        <w:pStyle w:val="ListBullet"/>
        <w:jc w:val="both"/>
      </w:pPr>
      <w:r>
        <w:rPr>
          <w:b w:val="0"/>
        </w:rPr>
        <w:t xml:space="preserve">Se reservan boletos y hospedaje con al menos </w:t>
      </w:r>
      <w:r>
        <w:rPr>
          <w:b w:val="0"/>
          <w:highlight w:val="yellow"/>
        </w:rPr>
        <w:t>[7]</w:t>
      </w:r>
      <w:r>
        <w:rPr>
          <w:b w:val="0"/>
        </w:rPr>
        <w:t xml:space="preserve"> días de anticipación para obtener mejores tarifas.</w:t>
      </w:r>
    </w:p>
    <w:p>
      <w:pPr>
        <w:pStyle w:val="ListBullet"/>
        <w:jc w:val="both"/>
      </w:pPr>
      <w:r>
        <w:rPr>
          <w:b w:val="0"/>
        </w:rPr>
        <w:t xml:space="preserve">No son reembolsables multas, bebidas alcohólicas, gastos personales, propinas por encima del </w:t>
      </w:r>
      <w:r>
        <w:rPr>
          <w:b w:val="0"/>
          <w:highlight w:val="yellow"/>
        </w:rPr>
        <w:t>[10]</w:t>
      </w:r>
      <w:r>
        <w:rPr>
          <w:b w:val="0"/>
        </w:rPr>
        <w:t>% ni gastos de acompañantes.</w:t>
      </w:r>
    </w:p>
    <w:p>
      <w:pPr>
        <w:pStyle w:val="ListBullet"/>
        <w:jc w:val="both"/>
      </w:pPr>
      <w:r>
        <w:rPr>
          <w:b w:val="0"/>
        </w:rPr>
        <w:t xml:space="preserve">Los gastos se comprueban con CFDI a nombre de la empresa dentro de los </w:t>
      </w:r>
      <w:r>
        <w:rPr>
          <w:b w:val="0"/>
          <w:highlight w:val="yellow"/>
        </w:rPr>
        <w:t>[5]</w:t>
      </w:r>
      <w:r>
        <w:rPr>
          <w:b w:val="0"/>
        </w:rPr>
        <w:t xml:space="preserve"> días hábiles posteriores al regreso.</w:t>
      </w:r>
    </w:p>
    <w:p>
      <w:pPr>
        <w:pStyle w:val="ListBullet"/>
        <w:jc w:val="both"/>
      </w:pPr>
      <w:r>
        <w:rPr>
          <w:b w:val="0"/>
        </w:rPr>
        <w:t xml:space="preserve">Los gastos sin factura se comprueban con nota firmada y no excederán el </w:t>
      </w:r>
      <w:r>
        <w:rPr>
          <w:b w:val="0"/>
          <w:highlight w:val="yellow"/>
        </w:rPr>
        <w:t>[10]</w:t>
      </w:r>
      <w:r>
        <w:rPr>
          <w:b w:val="0"/>
        </w:rPr>
        <w:t>% del total del viaje.</w:t>
      </w:r>
    </w:p>
    <w:p>
      <w:pPr>
        <w:pStyle w:val="ListBullet"/>
        <w:jc w:val="both"/>
      </w:pPr>
      <w:r>
        <w:rPr>
          <w:b w:val="0"/>
        </w:rPr>
        <w:t>El anticipo no comprobado se descuenta vía nómina, previa autorización del colaborador.</w:t>
      </w:r>
    </w:p>
    <w:p>
      <w:pPr>
        <w:pStyle w:val="ListBullet"/>
        <w:jc w:val="both"/>
      </w:pPr>
      <w:r>
        <w:rPr>
          <w:b w:val="0"/>
        </w:rPr>
        <w:t>Los saldos a favor del colaborador se reembolsan en la siguiente dispersión de pagos.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llena la solicitud de viáticos con destino, fechas, objetivo y presupuesto.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viáticos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jefe inmediato autoriza y Finanzas entrega el anticipo.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/ 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firmada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realiza el viaje y conserva todos los comprobantes.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Facturas / tickets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 su regreso llena el informe de gastos y adjunta los comprobantes.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Informe de gastos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revisa, concilia el anticipo y registra la comprobación.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reembolsa o descuenta la diferencia.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/ Nómina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Transferencia / recibo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FORMATOS RELACIONADOS</w:t>
      </w:r>
    </w:p>
    <w:p>
      <w:pPr>
        <w:pStyle w:val="ListBullet"/>
        <w:jc w:val="both"/>
      </w:pPr>
      <w:r>
        <w:rPr>
          <w:b w:val="0"/>
        </w:rPr>
        <w:t>Solicitud de viáticos.</w:t>
      </w:r>
    </w:p>
    <w:p>
      <w:pPr>
        <w:pStyle w:val="ListBullet"/>
        <w:jc w:val="both"/>
      </w:pPr>
      <w:r>
        <w:rPr>
          <w:b w:val="0"/>
        </w:rPr>
        <w:t>Informe de gastos de viaje.</w:t>
      </w:r>
    </w:p>
    <w:p>
      <w:pPr>
        <w:pStyle w:val="ListBullet"/>
        <w:jc w:val="both"/>
      </w:pPr>
      <w:r>
        <w:rPr>
          <w:b w:val="0"/>
        </w:rPr>
        <w:t>Control de ingresos y gastos (Excel).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