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>
      <w:pPr>
        <w:spacing w:after="200"/>
        <w:jc w:val="center"/>
        <w:pBdr>
          <w:bottom w:val="single" w:sz="12" w:space="4" w:color="C9A227"/>
        </w:pBdr>
      </w:pPr>
      <w:r>
        <w:rPr>
          <w:b/>
          <w:color w:val="0B2A4A"/>
          <w:sz w:val="36"/>
        </w:rPr>
        <w:t>MODELO OPERATIVO: ORDENAR, PLANEAR, EJECUTAR, CERRAR</w:t>
      </w:r>
    </w:p>
    <w:p>
      <w:pPr>
        <w:jc w:val="center"/>
      </w:pPr>
      <w:r>
        <w:rPr>
          <w:i/>
          <w:color w:val="5B6B78"/>
        </w:rPr>
        <w:t>Un método simple para operar con control y cerrar cada proyecto con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 DE EMISIÓN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PRÓXIMA REVISIÓN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MO-GEN-01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</w:tr>
    </w:tbl>
    <w:p/>
    <w:p>
      <w:pPr>
        <w:jc w:val="center"/>
      </w:pPr>
      <w:r>
        <w:rPr>
          <w:b w:val="0"/>
        </w:rPr>
        <w:t>Orden para operar. Control para crecer. Menos improvisación, más trazabilidad. Un proyecto no termina al entregar: termina al cerrar bien.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1. ORDENAR</w:t>
            </w:r>
          </w:p>
        </w:tc>
        <w:tc>
          <w:tcPr>
            <w:tcW w:type="dxa" w:w="2351"/>
            <w:shd w:val="clear" w:fill="0E7C8B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2. PLANEAR</w:t>
            </w:r>
          </w:p>
        </w:tc>
        <w:tc>
          <w:tcPr>
            <w:tcW w:type="dxa" w:w="2351"/>
            <w:shd w:val="clear" w:fill="C9A227"/>
          </w:tcPr>
          <w:p>
            <w:pPr>
              <w:jc w:val="center"/>
            </w:pPr>
            <w:r/>
            <w:r>
              <w:rPr>
                <w:b/>
                <w:color w:val="0B2A4A"/>
                <w:sz w:val="26"/>
              </w:rPr>
              <w:t>3. EJECUTAR</w:t>
            </w:r>
          </w:p>
        </w:tc>
        <w:tc>
          <w:tcPr>
            <w:tcW w:type="dxa" w:w="2351"/>
            <w:shd w:val="clear" w:fill="E8604C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4. CERRAR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• Levantar procesos, documentos y responsables.</w:t>
            </w:r>
          </w:p>
          <w:p>
            <w:r>
              <w:rPr>
                <w:sz w:val="19"/>
              </w:rPr>
              <w:t>• Eliminar duplicidades y pendientes ocultos.</w:t>
            </w:r>
          </w:p>
          <w:p>
            <w:r>
              <w:rPr>
                <w:sz w:val="19"/>
              </w:rPr>
              <w:t>• Definir qué se controla y con qué formato.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• Priorizar por urgencia e impacto.</w:t>
            </w:r>
          </w:p>
          <w:p>
            <w:r>
              <w:rPr>
                <w:sz w:val="19"/>
              </w:rPr>
              <w:t>• Calendario, presupuesto y recursos.</w:t>
            </w:r>
          </w:p>
          <w:p>
            <w:r>
              <w:rPr>
                <w:sz w:val="19"/>
              </w:rPr>
              <w:t>• Riesgos y plan de mitigación.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• Operar con formatos y controles estándar.</w:t>
            </w:r>
          </w:p>
          <w:p>
            <w:r>
              <w:rPr>
                <w:sz w:val="19"/>
              </w:rPr>
              <w:t>• Seguimiento semanal con semáforos.</w:t>
            </w:r>
          </w:p>
          <w:p>
            <w:r>
              <w:rPr>
                <w:sz w:val="19"/>
              </w:rPr>
              <w:t>• Escalar desviaciones a tiempo.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• Validar entregables y evidencia.</w:t>
            </w:r>
          </w:p>
          <w:p>
            <w:r>
              <w:rPr>
                <w:sz w:val="19"/>
              </w:rPr>
              <w:t>• Cerrar pendientes y conciliar cifras.</w:t>
            </w:r>
          </w:p>
          <w:p>
            <w:r>
              <w:rPr>
                <w:sz w:val="19"/>
              </w:rPr>
              <w:t>• Documentar lecciones aprendidas.</w:t>
            </w:r>
          </w:p>
        </w:tc>
      </w:tr>
      <w:tr>
        <w:tc>
          <w:tcPr>
            <w:tcW w:type="dxa" w:w="2351"/>
            <w:shd w:val="clear" w:fill="F4F6F8"/>
          </w:tcPr>
          <w:p>
            <w:r/>
            <w:r>
              <w:rPr>
                <w:b/>
                <w:color w:val="0E7C8B"/>
                <w:sz w:val="16"/>
              </w:rPr>
              <w:t>ENTREGABLES</w:t>
              <w:br/>
            </w:r>
            <w:r>
              <w:rPr>
                <w:sz w:val="18"/>
              </w:rPr>
              <w:t>Mapa de procesos · Expediente · Matriz de responsables</w:t>
            </w:r>
          </w:p>
        </w:tc>
        <w:tc>
          <w:tcPr>
            <w:tcW w:type="dxa" w:w="2351"/>
            <w:shd w:val="clear" w:fill="F4F6F8"/>
          </w:tcPr>
          <w:p>
            <w:r/>
            <w:r>
              <w:rPr>
                <w:b/>
                <w:color w:val="0E7C8B"/>
                <w:sz w:val="16"/>
              </w:rPr>
              <w:t>ENTREGABLES</w:t>
              <w:br/>
            </w:r>
            <w:r>
              <w:rPr>
                <w:sz w:val="18"/>
              </w:rPr>
              <w:t>Plan de trabajo · Presupuesto anual · Matriz de riesgos</w:t>
            </w:r>
          </w:p>
        </w:tc>
        <w:tc>
          <w:tcPr>
            <w:tcW w:type="dxa" w:w="2351"/>
            <w:shd w:val="clear" w:fill="F4F6F8"/>
          </w:tcPr>
          <w:p>
            <w:r/>
            <w:r>
              <w:rPr>
                <w:b/>
                <w:color w:val="0E7C8B"/>
                <w:sz w:val="16"/>
              </w:rPr>
              <w:t>ENTREGABLES</w:t>
              <w:br/>
            </w:r>
            <w:r>
              <w:rPr>
                <w:sz w:val="18"/>
              </w:rPr>
              <w:t>Control operativo semanal · Reporte semanal · Indicadores</w:t>
            </w:r>
          </w:p>
        </w:tc>
        <w:tc>
          <w:tcPr>
            <w:tcW w:type="dxa" w:w="2351"/>
            <w:shd w:val="clear" w:fill="F4F6F8"/>
          </w:tcPr>
          <w:p>
            <w:r/>
            <w:r>
              <w:rPr>
                <w:b/>
                <w:color w:val="0E7C8B"/>
                <w:sz w:val="16"/>
              </w:rPr>
              <w:t>ENTREGABLES</w:t>
              <w:br/>
            </w:r>
            <w:r>
              <w:rPr>
                <w:sz w:val="18"/>
              </w:rPr>
              <w:t>Acta de entrega-recepción · Expediente final · Informe de cierre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RESPONSABLES Y FECHAS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1701"/>
        <w:gridCol w:w="2268"/>
        <w:gridCol w:w="1701"/>
        <w:gridCol w:w="1701"/>
        <w:gridCol w:w="2268"/>
      </w:tblGrid>
      <w:tr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 inicio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 cierre</w:t>
            </w:r>
          </w:p>
        </w:tc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Ordenar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[NOMBRE]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[FECHA]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[FECHA]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[DOCUMENTO]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Planear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[NOMBRE]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[FECHA]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[FECHA]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[DOCUMENTO]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Ejecutar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[NOMBRE]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[FECHA]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[FECHA]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[DOCUMENTO]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Cerrar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[NOMBRE]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[FECHA]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[FECHA]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[DOCUMENTO]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CÓMO USARLO CON EL PAQUETE ADMINISTRATIVO</w:t>
      </w:r>
    </w:p>
    <w:p>
      <w:pPr>
        <w:pStyle w:val="ListBullet"/>
        <w:jc w:val="both"/>
      </w:pPr>
      <w:r>
        <w:rPr>
          <w:b/>
        </w:rPr>
        <w:t>Ordenar:</w:t>
      </w:r>
      <w:r>
        <w:rPr>
          <w:b w:val="0"/>
        </w:rPr>
        <w:t xml:space="preserve"> Directorio de clientes y proveedores, Control de activos fijos, Políticas y procedimientos.</w:t>
      </w:r>
    </w:p>
    <w:p>
      <w:pPr>
        <w:pStyle w:val="ListBullet"/>
        <w:jc w:val="both"/>
      </w:pPr>
      <w:r>
        <w:rPr>
          <w:b/>
        </w:rPr>
        <w:t>Planear:</w:t>
      </w:r>
      <w:r>
        <w:rPr>
          <w:b w:val="0"/>
        </w:rPr>
        <w:t xml:space="preserve"> Presupuesto anual, Flujo de efectivo anual, Plan de implementación de 30 días.</w:t>
      </w:r>
    </w:p>
    <w:p>
      <w:pPr>
        <w:pStyle w:val="ListBullet"/>
        <w:jc w:val="both"/>
      </w:pPr>
      <w:r>
        <w:rPr>
          <w:b/>
        </w:rPr>
        <w:t>Ejecutar:</w:t>
      </w:r>
      <w:r>
        <w:rPr>
          <w:b w:val="0"/>
        </w:rPr>
        <w:t xml:space="preserve"> Control operativo semanal, Nómina, Compras, Cuentas por cobrar.</w:t>
      </w:r>
    </w:p>
    <w:p>
      <w:pPr>
        <w:pStyle w:val="ListBullet"/>
        <w:jc w:val="both"/>
      </w:pPr>
      <w:r>
        <w:rPr>
          <w:b/>
        </w:rPr>
        <w:t>Cerrar:</w:t>
      </w:r>
      <w:r>
        <w:rPr>
          <w:b w:val="0"/>
        </w:rPr>
        <w:t xml:space="preserve"> Conciliación bancaria, Acta de entrega-recepción, Reporte semanal para directivos.</w:t>
      </w:r>
    </w:p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badi" w:hAnsi="Abadi" w:eastAsia="Abad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