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CHECKLIST DE ALTA DE NUEVO COLABORADOR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Documentación, accesos, capacitación y seguimiento del primer mes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FO-RH-04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jc w:val="left"/>
      </w:pPr>
      <w:r>
        <w:rPr>
          <w:b w:val="0"/>
        </w:rPr>
        <w:t xml:space="preserve">Colaborador: </w:t>
      </w:r>
      <w:r>
        <w:rPr>
          <w:b w:val="0"/>
          <w:highlight w:val="yellow"/>
        </w:rPr>
        <w:t>[NOMBRE COMPLETO]</w:t>
      </w:r>
      <w:r>
        <w:rPr>
          <w:b w:val="0"/>
        </w:rPr>
        <w:t xml:space="preserve">    Puesto: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   Área: </w:t>
      </w:r>
      <w:r>
        <w:rPr>
          <w:b w:val="0"/>
          <w:highlight w:val="yellow"/>
        </w:rPr>
        <w:t>[ÁREA]</w:t>
      </w:r>
      <w:r>
        <w:rPr>
          <w:b w:val="0"/>
        </w:rPr>
        <w:t xml:space="preserve">    Fecha de ingreso: </w:t>
      </w:r>
      <w:r>
        <w:rPr>
          <w:b w:val="0"/>
          <w:highlight w:val="yellow"/>
        </w:rPr>
        <w:t>[FECHA]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F1F8F9"/>
            <w:tcMar>
              <w:top w:w="110" w:type="dxa"/>
              <w:left w:w="220" w:type="dxa"/>
              <w:bottom w:w="110" w:type="dxa"/>
              <w:right w:w="200" w:type="dxa"/>
            </w:tcMar>
            <w:tcBorders>
              <w:top w:val="nil"/>
              <w:right w:val="nil"/>
              <w:bottom w:val="nil"/>
              <w:left w:val="single" w:sz="36" w:color="0E7C8B"/>
            </w:tcBorders>
          </w:tcPr>
          <w:p>
            <w:pPr>
              <w:spacing w:after="40"/>
            </w:pPr>
            <w:r>
              <w:rPr>
                <w:b/>
                <w:color w:val="0E7C8B"/>
                <w:sz w:val="16"/>
              </w:rPr>
              <w:t>RECOMENDACIÓN</w:t>
            </w:r>
          </w:p>
          <w:p>
            <w:pPr>
              <w:spacing w:after="0"/>
            </w:pPr>
            <w:r>
              <w:rPr>
                <w:b w:val="0"/>
                <w:sz w:val="20"/>
              </w:rPr>
              <w:t>Complete la documentación antes del primer día; el alta en el IMSS debe hacerse dentro de los 5 días hábiles.</w:t>
            </w:r>
          </w:p>
        </w:tc>
      </w:tr>
    </w:tbl>
    <w:p>
      <w:pPr>
        <w:spacing w:after="0"/>
      </w:pP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A. DOCUMENTACIÓN (ANTES DEL PRIMER DÍA)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rPr>
          <w:cantSplit/>
          <w:tblHeader/>
        </w:trP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empleo y CV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nacimiento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CURP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RFC con constancia de situación fiscal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Número de seguridad social (NSS)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Comprobante de domicilio (menor a 3 meses)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Comprobante de estudios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Identificación oficial (INE o pasaporte)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 bancaria o CLABE para nómina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Examen médico y referencias laborales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B. TRÁMITES DE CONTRATACIÓN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rPr>
          <w:cantSplit/>
          <w:tblHeader/>
        </w:trP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Contrato individual de trabajo firmado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Alta en el IMSS (dentro de los 5 días hábiles)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Aviso de retención de crédito Infonavit/Fonacot, si aplica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Carta de confidencialidad firmada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Aviso de privacidad entregado y firmado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Alta en nómina y esquema de pago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C. ACCESOS Y HERRAMIENTAS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rPr>
          <w:cantSplit/>
          <w:tblHeader/>
        </w:trP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Correo electrónico y accesos a sistemas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Equipo de cómputo / herramientas asignadas con carta responsiva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Gafete y control de acceso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Uniforme o equipo de protección (si aplica)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Lugar de trabajo asignado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D. INDUCCIÓN Y CAPACITACIÓN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rPr>
          <w:cantSplit/>
          <w:tblHeader/>
        </w:trP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Bienvenida y presentación del equipo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Recorrido por las instalaciones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Explicación del reglamento y políticas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Capacitación del puesto y objetivos de 30-60-90 días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Capacitación de seguridad y protección civil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E. SEGUIMIENTO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rPr>
          <w:cantSplit/>
          <w:tblHeader/>
        </w:trP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Revisión con jefe inmediato a los 7 días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rPr>
          <w:cantSplit/>
        </w:trPr>
        <w:tc>
          <w:tcPr>
            <w:tcW w:type="dxa" w:w="4535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Revisión a los 30 días y confirmación de objetivos</w:t>
            </w:r>
          </w:p>
        </w:tc>
        <w:tc>
          <w:tcPr>
            <w:tcW w:type="dxa" w:w="1871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1361"/>
            <w:shd w:val="clear" w:fill="F4F6F8"/>
          </w:tcPr>
          <w:p/>
        </w:tc>
      </w:tr>
      <w:tr>
        <w:trPr>
          <w:cantSplit/>
        </w:trP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Evaluación de periodo de prueba, si aplica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Colaborador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CHECKLIST DE ALTA DE NUEVO COLABORADOR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