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Table 1. Detection prevalence, exceedance prevalence, and detected concentrations of regulated and unregulated analytes in the EPA UCMR 5 analytic dataset.</w:t>
      </w:r>
    </w:p>
    <w:p>
      <w:r>
        <w:rPr>
          <w:i/>
        </w:rPr>
        <w:t>(n = 14,071 ZIP codes; 40,311 compound-level records; 4,885 unique water systems)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pPr>
              <w:jc w:val="center"/>
            </w:pPr>
            <w:r>
              <w:rPr>
                <w:b/>
              </w:rPr>
              <w:t>Compound</w:t>
            </w:r>
          </w:p>
        </w:tc>
        <w:tc>
          <w:tcPr>
            <w:tcW w:type="dxa" w:w="1800"/>
          </w:tcPr>
          <w:p>
            <w:pPr>
              <w:jc w:val="center"/>
            </w:pPr>
            <w:r>
              <w:rPr>
                <w:b/>
              </w:rPr>
              <w:t>Applicable Threshold (µg/L)</w:t>
            </w:r>
          </w:p>
        </w:tc>
        <w:tc>
          <w:tcPr>
            <w:tcW w:type="dxa" w:w="1800"/>
          </w:tcPr>
          <w:p>
            <w:pPr>
              <w:jc w:val="center"/>
            </w:pPr>
            <w:r>
              <w:rPr>
                <w:b/>
              </w:rPr>
              <w:t>ZIP Codes Detected, n (%)</w:t>
            </w:r>
          </w:p>
        </w:tc>
        <w:tc>
          <w:tcPr>
            <w:tcW w:type="dxa" w:w="1800"/>
          </w:tcPr>
          <w:p>
            <w:pPr>
              <w:jc w:val="center"/>
            </w:pPr>
            <w:r>
              <w:rPr>
                <w:b/>
              </w:rPr>
              <w:t>Exceedance, n (% of detected)</w:t>
            </w:r>
          </w:p>
        </w:tc>
        <w:tc>
          <w:tcPr>
            <w:tcW w:type="dxa" w:w="1800"/>
          </w:tcPr>
          <w:p>
            <w:pPr>
              <w:jc w:val="center"/>
            </w:pPr>
            <w:r>
              <w:rPr>
                <w:b/>
              </w:rPr>
              <w:t>Mean Detected Concentration (µg/L)</w:t>
            </w:r>
          </w:p>
        </w:tc>
        <w:tc>
          <w:tcPr>
            <w:tcW w:type="dxa" w:w="1800"/>
          </w:tcPr>
          <w:p>
            <w:pPr>
              <w:jc w:val="center"/>
            </w:pPr>
            <w:r>
              <w:rPr>
                <w:b/>
              </w:rPr>
              <w:t>Maximum Detected Concentration (µg/L)</w:t>
            </w:r>
          </w:p>
        </w:tc>
      </w:tr>
      <w:tr>
        <w:tc>
          <w:tcPr>
            <w:tcW w:type="dxa" w:w="1800"/>
          </w:tcPr>
          <w:p>
            <w:pPr>
              <w:jc w:val="left"/>
            </w:pPr>
            <w:r>
              <w:rPr>
                <w:b/>
              </w:rPr>
              <w:t>Regulated PFAS</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pPr>
              <w:jc w:val="left"/>
            </w:pPr>
            <w:r>
              <w:t>PFOA</w:t>
            </w:r>
          </w:p>
        </w:tc>
        <w:tc>
          <w:tcPr>
            <w:tcW w:type="dxa" w:w="1800"/>
          </w:tcPr>
          <w:p>
            <w:pPr>
              <w:jc w:val="center"/>
            </w:pPr>
            <w:r>
              <w:t>0.004 (MCL)</w:t>
            </w:r>
          </w:p>
        </w:tc>
        <w:tc>
          <w:tcPr>
            <w:tcW w:type="dxa" w:w="1800"/>
          </w:tcPr>
          <w:p>
            <w:pPr>
              <w:jc w:val="center"/>
            </w:pPr>
            <w:r>
              <w:t>3,936 (28.0%)</w:t>
            </w:r>
          </w:p>
        </w:tc>
        <w:tc>
          <w:tcPr>
            <w:tcW w:type="dxa" w:w="1800"/>
          </w:tcPr>
          <w:p>
            <w:pPr>
              <w:jc w:val="center"/>
            </w:pPr>
            <w:r>
              <w:t>3,936 (100.0%)†</w:t>
            </w:r>
          </w:p>
        </w:tc>
        <w:tc>
          <w:tcPr>
            <w:tcW w:type="dxa" w:w="1800"/>
          </w:tcPr>
          <w:p>
            <w:pPr>
              <w:jc w:val="center"/>
            </w:pPr>
            <w:r>
              <w:t>0.0095</w:t>
            </w:r>
          </w:p>
        </w:tc>
        <w:tc>
          <w:tcPr>
            <w:tcW w:type="dxa" w:w="1800"/>
          </w:tcPr>
          <w:p>
            <w:pPr>
              <w:jc w:val="center"/>
            </w:pPr>
            <w:r>
              <w:t>0.235</w:t>
            </w:r>
          </w:p>
        </w:tc>
      </w:tr>
      <w:tr>
        <w:tc>
          <w:tcPr>
            <w:tcW w:type="dxa" w:w="1800"/>
          </w:tcPr>
          <w:p>
            <w:pPr>
              <w:jc w:val="left"/>
            </w:pPr>
            <w:r>
              <w:t>PFOS</w:t>
            </w:r>
          </w:p>
        </w:tc>
        <w:tc>
          <w:tcPr>
            <w:tcW w:type="dxa" w:w="1800"/>
          </w:tcPr>
          <w:p>
            <w:pPr>
              <w:jc w:val="center"/>
            </w:pPr>
            <w:r>
              <w:t>0.004 (MCL)</w:t>
            </w:r>
          </w:p>
        </w:tc>
        <w:tc>
          <w:tcPr>
            <w:tcW w:type="dxa" w:w="1800"/>
          </w:tcPr>
          <w:p>
            <w:pPr>
              <w:jc w:val="center"/>
            </w:pPr>
            <w:r>
              <w:t>4,083 (29.0%)</w:t>
            </w:r>
          </w:p>
        </w:tc>
        <w:tc>
          <w:tcPr>
            <w:tcW w:type="dxa" w:w="1800"/>
          </w:tcPr>
          <w:p>
            <w:pPr>
              <w:jc w:val="center"/>
            </w:pPr>
            <w:r>
              <w:t>4,083 (100.0%)†</w:t>
            </w:r>
          </w:p>
        </w:tc>
        <w:tc>
          <w:tcPr>
            <w:tcW w:type="dxa" w:w="1800"/>
          </w:tcPr>
          <w:p>
            <w:pPr>
              <w:jc w:val="center"/>
            </w:pPr>
            <w:r>
              <w:t>0.0120</w:t>
            </w:r>
          </w:p>
        </w:tc>
        <w:tc>
          <w:tcPr>
            <w:tcW w:type="dxa" w:w="1800"/>
          </w:tcPr>
          <w:p>
            <w:pPr>
              <w:jc w:val="center"/>
            </w:pPr>
            <w:r>
              <w:t>0.490</w:t>
            </w:r>
          </w:p>
        </w:tc>
      </w:tr>
      <w:tr>
        <w:tc>
          <w:tcPr>
            <w:tcW w:type="dxa" w:w="1800"/>
          </w:tcPr>
          <w:p>
            <w:pPr>
              <w:jc w:val="left"/>
            </w:pPr>
            <w:r>
              <w:t>PFHxS</w:t>
            </w:r>
          </w:p>
        </w:tc>
        <w:tc>
          <w:tcPr>
            <w:tcW w:type="dxa" w:w="1800"/>
          </w:tcPr>
          <w:p>
            <w:pPr>
              <w:jc w:val="center"/>
            </w:pPr>
            <w:r>
              <w:t>0.010 (MCL)</w:t>
            </w:r>
          </w:p>
        </w:tc>
        <w:tc>
          <w:tcPr>
            <w:tcW w:type="dxa" w:w="1800"/>
          </w:tcPr>
          <w:p>
            <w:pPr>
              <w:jc w:val="center"/>
            </w:pPr>
            <w:r>
              <w:t>2,999 (21.3%)</w:t>
            </w:r>
          </w:p>
        </w:tc>
        <w:tc>
          <w:tcPr>
            <w:tcW w:type="dxa" w:w="1800"/>
          </w:tcPr>
          <w:p>
            <w:pPr>
              <w:jc w:val="center"/>
            </w:pPr>
            <w:r>
              <w:t>635 (21.2%)</w:t>
            </w:r>
          </w:p>
        </w:tc>
        <w:tc>
          <w:tcPr>
            <w:tcW w:type="dxa" w:w="1800"/>
          </w:tcPr>
          <w:p>
            <w:pPr>
              <w:jc w:val="center"/>
            </w:pPr>
            <w:r>
              <w:t>0.0088</w:t>
            </w:r>
          </w:p>
        </w:tc>
        <w:tc>
          <w:tcPr>
            <w:tcW w:type="dxa" w:w="1800"/>
          </w:tcPr>
          <w:p>
            <w:pPr>
              <w:jc w:val="center"/>
            </w:pPr>
            <w:r>
              <w:t>0.2502</w:t>
            </w:r>
          </w:p>
        </w:tc>
      </w:tr>
      <w:tr>
        <w:tc>
          <w:tcPr>
            <w:tcW w:type="dxa" w:w="1800"/>
          </w:tcPr>
          <w:p>
            <w:pPr>
              <w:jc w:val="left"/>
            </w:pPr>
            <w:r>
              <w:t>PFBS</w:t>
            </w:r>
          </w:p>
        </w:tc>
        <w:tc>
          <w:tcPr>
            <w:tcW w:type="dxa" w:w="1800"/>
          </w:tcPr>
          <w:p>
            <w:pPr>
              <w:jc w:val="center"/>
            </w:pPr>
            <w:r>
              <w:t>2.0 (HI ref.)‡</w:t>
            </w:r>
          </w:p>
        </w:tc>
        <w:tc>
          <w:tcPr>
            <w:tcW w:type="dxa" w:w="1800"/>
          </w:tcPr>
          <w:p>
            <w:pPr>
              <w:jc w:val="center"/>
            </w:pPr>
            <w:r>
              <w:t>5,009 (35.6%)</w:t>
            </w:r>
          </w:p>
        </w:tc>
        <w:tc>
          <w:tcPr>
            <w:tcW w:type="dxa" w:w="1800"/>
          </w:tcPr>
          <w:p>
            <w:pPr>
              <w:jc w:val="center"/>
            </w:pPr>
            <w:r>
              <w:t>—‡</w:t>
            </w:r>
          </w:p>
        </w:tc>
        <w:tc>
          <w:tcPr>
            <w:tcW w:type="dxa" w:w="1800"/>
          </w:tcPr>
          <w:p>
            <w:pPr>
              <w:jc w:val="center"/>
            </w:pPr>
            <w:r>
              <w:t>0.0087</w:t>
            </w:r>
          </w:p>
        </w:tc>
        <w:tc>
          <w:tcPr>
            <w:tcW w:type="dxa" w:w="1800"/>
          </w:tcPr>
          <w:p>
            <w:pPr>
              <w:jc w:val="center"/>
            </w:pPr>
            <w:r>
              <w:t>0.290</w:t>
            </w:r>
          </w:p>
        </w:tc>
      </w:tr>
      <w:tr>
        <w:tc>
          <w:tcPr>
            <w:tcW w:type="dxa" w:w="1800"/>
          </w:tcPr>
          <w:p>
            <w:pPr>
              <w:jc w:val="left"/>
            </w:pPr>
            <w:r>
              <w:t>PFNA</w:t>
            </w:r>
          </w:p>
        </w:tc>
        <w:tc>
          <w:tcPr>
            <w:tcW w:type="dxa" w:w="1800"/>
          </w:tcPr>
          <w:p>
            <w:pPr>
              <w:jc w:val="center"/>
            </w:pPr>
            <w:r>
              <w:t>0.010 (MCL)</w:t>
            </w:r>
          </w:p>
        </w:tc>
        <w:tc>
          <w:tcPr>
            <w:tcW w:type="dxa" w:w="1800"/>
          </w:tcPr>
          <w:p>
            <w:pPr>
              <w:jc w:val="center"/>
            </w:pPr>
            <w:r>
              <w:t>558 (4.0%)</w:t>
            </w:r>
          </w:p>
        </w:tc>
        <w:tc>
          <w:tcPr>
            <w:tcW w:type="dxa" w:w="1800"/>
          </w:tcPr>
          <w:p>
            <w:pPr>
              <w:jc w:val="center"/>
            </w:pPr>
            <w:r>
              <w:t>194 (34.8%)</w:t>
            </w:r>
          </w:p>
        </w:tc>
        <w:tc>
          <w:tcPr>
            <w:tcW w:type="dxa" w:w="1800"/>
          </w:tcPr>
          <w:p>
            <w:pPr>
              <w:jc w:val="center"/>
            </w:pPr>
            <w:r>
              <w:t>0.0096</w:t>
            </w:r>
          </w:p>
        </w:tc>
        <w:tc>
          <w:tcPr>
            <w:tcW w:type="dxa" w:w="1800"/>
          </w:tcPr>
          <w:p>
            <w:pPr>
              <w:jc w:val="center"/>
            </w:pPr>
            <w:r>
              <w:t>0.0998</w:t>
            </w:r>
          </w:p>
        </w:tc>
      </w:tr>
      <w:tr>
        <w:tc>
          <w:tcPr>
            <w:tcW w:type="dxa" w:w="1800"/>
          </w:tcPr>
          <w:p>
            <w:pPr>
              <w:jc w:val="left"/>
            </w:pPr>
            <w:r>
              <w:t>HFPO-DA (GenX)</w:t>
            </w:r>
          </w:p>
        </w:tc>
        <w:tc>
          <w:tcPr>
            <w:tcW w:type="dxa" w:w="1800"/>
          </w:tcPr>
          <w:p>
            <w:pPr>
              <w:jc w:val="center"/>
            </w:pPr>
            <w:r>
              <w:t>0.010 (MCL)</w:t>
            </w:r>
          </w:p>
        </w:tc>
        <w:tc>
          <w:tcPr>
            <w:tcW w:type="dxa" w:w="1800"/>
          </w:tcPr>
          <w:p>
            <w:pPr>
              <w:jc w:val="center"/>
            </w:pPr>
            <w:r>
              <w:t>203 (1.4%)</w:t>
            </w:r>
          </w:p>
        </w:tc>
        <w:tc>
          <w:tcPr>
            <w:tcW w:type="dxa" w:w="1800"/>
          </w:tcPr>
          <w:p>
            <w:pPr>
              <w:jc w:val="center"/>
            </w:pPr>
            <w:r>
              <w:t>71 (35.0%)</w:t>
            </w:r>
          </w:p>
        </w:tc>
        <w:tc>
          <w:tcPr>
            <w:tcW w:type="dxa" w:w="1800"/>
          </w:tcPr>
          <w:p>
            <w:pPr>
              <w:jc w:val="center"/>
            </w:pPr>
            <w:r>
              <w:t>0.0209</w:t>
            </w:r>
          </w:p>
        </w:tc>
        <w:tc>
          <w:tcPr>
            <w:tcW w:type="dxa" w:w="1800"/>
          </w:tcPr>
          <w:p>
            <w:pPr>
              <w:jc w:val="center"/>
            </w:pPr>
            <w:r>
              <w:t>0.140</w:t>
            </w:r>
          </w:p>
        </w:tc>
      </w:tr>
      <w:tr>
        <w:tc>
          <w:tcPr>
            <w:tcW w:type="dxa" w:w="1800"/>
          </w:tcPr>
          <w:p>
            <w:pPr>
              <w:jc w:val="left"/>
            </w:pPr>
            <w:r>
              <w:rPr>
                <w:b/>
              </w:rPr>
              <w:t>Unregulated Analytes</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pPr>
              <w:jc w:val="left"/>
            </w:pPr>
            <w:r>
              <w:t>Lithium</w:t>
            </w:r>
          </w:p>
        </w:tc>
        <w:tc>
          <w:tcPr>
            <w:tcW w:type="dxa" w:w="1800"/>
          </w:tcPr>
          <w:p>
            <w:pPr>
              <w:jc w:val="center"/>
            </w:pPr>
            <w:r>
              <w:t>7.36 (ref.)§</w:t>
            </w:r>
          </w:p>
        </w:tc>
        <w:tc>
          <w:tcPr>
            <w:tcW w:type="dxa" w:w="1800"/>
          </w:tcPr>
          <w:p>
            <w:pPr>
              <w:jc w:val="center"/>
            </w:pPr>
            <w:r>
              <w:t>8,076 (57.4%)</w:t>
            </w:r>
          </w:p>
        </w:tc>
        <w:tc>
          <w:tcPr>
            <w:tcW w:type="dxa" w:w="1800"/>
          </w:tcPr>
          <w:p>
            <w:pPr>
              <w:jc w:val="center"/>
            </w:pPr>
            <w:r>
              <w:t>8,076 (100.0%)§</w:t>
            </w:r>
          </w:p>
        </w:tc>
        <w:tc>
          <w:tcPr>
            <w:tcW w:type="dxa" w:w="1800"/>
          </w:tcPr>
          <w:p>
            <w:pPr>
              <w:jc w:val="center"/>
            </w:pPr>
            <w:r>
              <w:t>47.6</w:t>
            </w:r>
          </w:p>
        </w:tc>
        <w:tc>
          <w:tcPr>
            <w:tcW w:type="dxa" w:w="1800"/>
          </w:tcPr>
          <w:p>
            <w:pPr>
              <w:jc w:val="center"/>
            </w:pPr>
            <w:r>
              <w:t>960</w:t>
            </w:r>
          </w:p>
        </w:tc>
      </w:tr>
      <w:tr>
        <w:tc>
          <w:tcPr>
            <w:tcW w:type="dxa" w:w="1800"/>
          </w:tcPr>
          <w:p>
            <w:pPr>
              <w:jc w:val="left"/>
            </w:pPr>
            <w:r>
              <w:t>PFPeA</w:t>
            </w:r>
          </w:p>
        </w:tc>
        <w:tc>
          <w:tcPr>
            <w:tcW w:type="dxa" w:w="1800"/>
          </w:tcPr>
          <w:p>
            <w:pPr>
              <w:jc w:val="center"/>
            </w:pPr>
            <w:r>
              <w:t>—</w:t>
            </w:r>
          </w:p>
        </w:tc>
        <w:tc>
          <w:tcPr>
            <w:tcW w:type="dxa" w:w="1800"/>
          </w:tcPr>
          <w:p>
            <w:pPr>
              <w:jc w:val="center"/>
            </w:pPr>
            <w:r>
              <w:t>6,396 (45.5%)</w:t>
            </w:r>
          </w:p>
        </w:tc>
        <w:tc>
          <w:tcPr>
            <w:tcW w:type="dxa" w:w="1800"/>
          </w:tcPr>
          <w:p>
            <w:pPr>
              <w:jc w:val="center"/>
            </w:pPr>
            <w:r>
              <w:t>—</w:t>
            </w:r>
          </w:p>
        </w:tc>
        <w:tc>
          <w:tcPr>
            <w:tcW w:type="dxa" w:w="1800"/>
          </w:tcPr>
          <w:p>
            <w:pPr>
              <w:jc w:val="center"/>
            </w:pPr>
            <w:r>
              <w:t>0.0111</w:t>
            </w:r>
          </w:p>
        </w:tc>
        <w:tc>
          <w:tcPr>
            <w:tcW w:type="dxa" w:w="1800"/>
          </w:tcPr>
          <w:p>
            <w:pPr>
              <w:jc w:val="center"/>
            </w:pPr>
            <w:r>
              <w:t>0.358</w:t>
            </w:r>
          </w:p>
        </w:tc>
      </w:tr>
      <w:tr>
        <w:tc>
          <w:tcPr>
            <w:tcW w:type="dxa" w:w="1800"/>
          </w:tcPr>
          <w:p>
            <w:pPr>
              <w:jc w:val="left"/>
            </w:pPr>
            <w:r>
              <w:t>PFBA</w:t>
            </w:r>
          </w:p>
        </w:tc>
        <w:tc>
          <w:tcPr>
            <w:tcW w:type="dxa" w:w="1800"/>
          </w:tcPr>
          <w:p>
            <w:pPr>
              <w:jc w:val="center"/>
            </w:pPr>
            <w:r>
              <w:t>—</w:t>
            </w:r>
          </w:p>
        </w:tc>
        <w:tc>
          <w:tcPr>
            <w:tcW w:type="dxa" w:w="1800"/>
          </w:tcPr>
          <w:p>
            <w:pPr>
              <w:jc w:val="center"/>
            </w:pPr>
            <w:r>
              <w:t>6,065 (43.1%)</w:t>
            </w:r>
          </w:p>
        </w:tc>
        <w:tc>
          <w:tcPr>
            <w:tcW w:type="dxa" w:w="1800"/>
          </w:tcPr>
          <w:p>
            <w:pPr>
              <w:jc w:val="center"/>
            </w:pPr>
            <w:r>
              <w:t>—</w:t>
            </w:r>
          </w:p>
        </w:tc>
        <w:tc>
          <w:tcPr>
            <w:tcW w:type="dxa" w:w="1800"/>
          </w:tcPr>
          <w:p>
            <w:pPr>
              <w:jc w:val="center"/>
            </w:pPr>
            <w:r>
              <w:t>0.0116</w:t>
            </w:r>
          </w:p>
        </w:tc>
        <w:tc>
          <w:tcPr>
            <w:tcW w:type="dxa" w:w="1800"/>
          </w:tcPr>
          <w:p>
            <w:pPr>
              <w:jc w:val="center"/>
            </w:pPr>
            <w:r>
              <w:t>1.70</w:t>
            </w:r>
          </w:p>
        </w:tc>
      </w:tr>
      <w:tr>
        <w:tc>
          <w:tcPr>
            <w:tcW w:type="dxa" w:w="1800"/>
          </w:tcPr>
          <w:p>
            <w:pPr>
              <w:jc w:val="left"/>
            </w:pPr>
            <w:r>
              <w:t>PFHpA</w:t>
            </w:r>
          </w:p>
        </w:tc>
        <w:tc>
          <w:tcPr>
            <w:tcW w:type="dxa" w:w="1800"/>
          </w:tcPr>
          <w:p>
            <w:pPr>
              <w:jc w:val="center"/>
            </w:pPr>
            <w:r>
              <w:t>—</w:t>
            </w:r>
          </w:p>
        </w:tc>
        <w:tc>
          <w:tcPr>
            <w:tcW w:type="dxa" w:w="1800"/>
          </w:tcPr>
          <w:p>
            <w:pPr>
              <w:jc w:val="center"/>
            </w:pPr>
            <w:r>
              <w:t>2,056 (14.6%)</w:t>
            </w:r>
          </w:p>
        </w:tc>
        <w:tc>
          <w:tcPr>
            <w:tcW w:type="dxa" w:w="1800"/>
          </w:tcPr>
          <w:p>
            <w:pPr>
              <w:jc w:val="center"/>
            </w:pPr>
            <w:r>
              <w:t>—</w:t>
            </w:r>
          </w:p>
        </w:tc>
        <w:tc>
          <w:tcPr>
            <w:tcW w:type="dxa" w:w="1800"/>
          </w:tcPr>
          <w:p>
            <w:pPr>
              <w:jc w:val="center"/>
            </w:pPr>
            <w:r>
              <w:t>0.0067</w:t>
            </w:r>
          </w:p>
        </w:tc>
        <w:tc>
          <w:tcPr>
            <w:tcW w:type="dxa" w:w="1800"/>
          </w:tcPr>
          <w:p>
            <w:pPr>
              <w:jc w:val="center"/>
            </w:pPr>
            <w:r>
              <w:t>0.0727</w:t>
            </w:r>
          </w:p>
        </w:tc>
      </w:tr>
      <w:tr>
        <w:tc>
          <w:tcPr>
            <w:tcW w:type="dxa" w:w="1800"/>
          </w:tcPr>
          <w:p>
            <w:pPr>
              <w:jc w:val="left"/>
            </w:pPr>
            <w:r>
              <w:t>6:2 FTS</w:t>
            </w:r>
          </w:p>
        </w:tc>
        <w:tc>
          <w:tcPr>
            <w:tcW w:type="dxa" w:w="1800"/>
          </w:tcPr>
          <w:p>
            <w:pPr>
              <w:jc w:val="center"/>
            </w:pPr>
            <w:r>
              <w:t>—</w:t>
            </w:r>
          </w:p>
        </w:tc>
        <w:tc>
          <w:tcPr>
            <w:tcW w:type="dxa" w:w="1800"/>
          </w:tcPr>
          <w:p>
            <w:pPr>
              <w:jc w:val="center"/>
            </w:pPr>
            <w:r>
              <w:t>896 (6.4%)</w:t>
            </w:r>
          </w:p>
        </w:tc>
        <w:tc>
          <w:tcPr>
            <w:tcW w:type="dxa" w:w="1800"/>
          </w:tcPr>
          <w:p>
            <w:pPr>
              <w:jc w:val="center"/>
            </w:pPr>
            <w:r>
              <w:t>—</w:t>
            </w:r>
          </w:p>
        </w:tc>
        <w:tc>
          <w:tcPr>
            <w:tcW w:type="dxa" w:w="1800"/>
          </w:tcPr>
          <w:p>
            <w:pPr>
              <w:jc w:val="center"/>
            </w:pPr>
            <w:r>
              <w:t>0.0437</w:t>
            </w:r>
          </w:p>
        </w:tc>
        <w:tc>
          <w:tcPr>
            <w:tcW w:type="dxa" w:w="1800"/>
          </w:tcPr>
          <w:p>
            <w:pPr>
              <w:jc w:val="center"/>
            </w:pPr>
            <w:r>
              <w:t>0.672</w:t>
            </w:r>
          </w:p>
        </w:tc>
      </w:tr>
      <w:tr>
        <w:tc>
          <w:tcPr>
            <w:tcW w:type="dxa" w:w="1800"/>
          </w:tcPr>
          <w:p>
            <w:pPr>
              <w:jc w:val="left"/>
            </w:pPr>
            <w:r>
              <w:t>PFDA</w:t>
            </w:r>
          </w:p>
        </w:tc>
        <w:tc>
          <w:tcPr>
            <w:tcW w:type="dxa" w:w="1800"/>
          </w:tcPr>
          <w:p>
            <w:pPr>
              <w:jc w:val="center"/>
            </w:pPr>
            <w:r>
              <w:t>—</w:t>
            </w:r>
          </w:p>
        </w:tc>
        <w:tc>
          <w:tcPr>
            <w:tcW w:type="dxa" w:w="1800"/>
          </w:tcPr>
          <w:p>
            <w:pPr>
              <w:jc w:val="center"/>
            </w:pPr>
            <w:r>
              <w:t>34 (0.2%)</w:t>
            </w:r>
          </w:p>
        </w:tc>
        <w:tc>
          <w:tcPr>
            <w:tcW w:type="dxa" w:w="1800"/>
          </w:tcPr>
          <w:p>
            <w:pPr>
              <w:jc w:val="center"/>
            </w:pPr>
            <w:r>
              <w:t>—</w:t>
            </w:r>
          </w:p>
        </w:tc>
        <w:tc>
          <w:tcPr>
            <w:tcW w:type="dxa" w:w="1800"/>
          </w:tcPr>
          <w:p>
            <w:pPr>
              <w:jc w:val="center"/>
            </w:pPr>
            <w:r>
              <w:t>0.0045</w:t>
            </w:r>
          </w:p>
        </w:tc>
        <w:tc>
          <w:tcPr>
            <w:tcW w:type="dxa" w:w="1800"/>
          </w:tcPr>
          <w:p>
            <w:pPr>
              <w:jc w:val="center"/>
            </w:pPr>
            <w:r>
              <w:t>0.0124</w:t>
            </w:r>
          </w:p>
        </w:tc>
      </w:tr>
    </w:tbl>
    <w:p>
      <w:r>
        <w:t>All statistics were derived from the processed EPA UCMR 5 analytic dataset described in Methods. Detection percentages reflect the proportion of all 14,071 ZIP codes in the dataset. Exceedance percentages reflect the proportion of ZIP codes in which that compound was detected. The highest observed concentration per compound per ZIP code was retained; values represent the upper bound of observed drinking-water concentrations.</w:t>
      </w:r>
    </w:p>
    <w:p>
      <w:r>
        <w:t>Abbreviations: MCL = Maximum Contaminant Level; HI = Hazard Index; ref. = reference level.</w:t>
        <w:br/>
        <w:t>† For PFOA and PFOS, the UCMR 5 minimum reporting level equals the MCL (0.004 µg/L); every recorded detection therefore meets the definition of exceedance. Detection prevalence is reported because an independent exceedance rate cannot be calculated from the UCMR 5 reporting structure.</w:t>
        <w:br/>
        <w:t>‡ PFBS is regulated via a combined Hazard Index requiring co-located multi-compound sample measurements; a full Hazard Index calculation was not feasible from this dataset. Exceedance is not reported for PFBS. The threshold shown (2.0 µg/L) is the individual PFBS reference concentration used in the Hazard Index calculation.</w:t>
        <w:br/>
        <w:t>§ Lithium has no federal Maximum Contaminant Level. The threshold shown (7.36 µg/L) is the drinking-water concentration evaluated in Liew et al. (2023); it is not a regulatory standard. Figures in the exceedance column reflect the proportion of detected ZIP codes at or above this evidence-based reference level.</w:t>
      </w:r>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