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E05BAA" w14:textId="77777777" w:rsidR="00B00746" w:rsidRDefault="00B00746" w:rsidP="00B00746">
      <w:r>
        <w:t>引子：</w:t>
      </w:r>
    </w:p>
    <w:p w14:paraId="49295DF3" w14:textId="77777777" w:rsidR="00B00746" w:rsidRDefault="00B00746" w:rsidP="00B00746">
      <w:r>
        <w:t>公司当前的股价应该是反映未来公司现金流的折现，</w:t>
      </w:r>
      <w:r>
        <w:rPr>
          <w:rFonts w:hint="eastAsia"/>
        </w:rPr>
        <w:t>未来现金流</w:t>
      </w:r>
      <w:r>
        <w:t>取决于未来利润增速的变化。</w:t>
      </w:r>
      <w:r>
        <w:rPr>
          <w:rFonts w:hint="eastAsia"/>
        </w:rPr>
        <w:t>所以</w:t>
      </w:r>
      <w:r>
        <w:t>，</w:t>
      </w:r>
      <w:r>
        <w:rPr>
          <w:rFonts w:hint="eastAsia"/>
        </w:rPr>
        <w:t>利润增速</w:t>
      </w:r>
      <w:r>
        <w:t>可以作为影响未来现金流的主要逻辑。但是，</w:t>
      </w:r>
      <w:r>
        <w:rPr>
          <w:rFonts w:hint="eastAsia"/>
        </w:rPr>
        <w:t>利润增速</w:t>
      </w:r>
      <w:r>
        <w:t>是一个非常滞后的变量，</w:t>
      </w:r>
      <w:r>
        <w:rPr>
          <w:rFonts w:hint="eastAsia"/>
        </w:rPr>
        <w:t>当</w:t>
      </w:r>
      <w:r>
        <w:t>具体数据公布时，</w:t>
      </w:r>
      <w:r>
        <w:rPr>
          <w:rFonts w:hint="eastAsia"/>
        </w:rPr>
        <w:t>股价已经充分</w:t>
      </w:r>
      <w:r>
        <w:t>反映了。所以，</w:t>
      </w:r>
      <w:r>
        <w:rPr>
          <w:rFonts w:hint="eastAsia"/>
        </w:rPr>
        <w:t>需要根据</w:t>
      </w:r>
      <w:r>
        <w:t>不同公司的特质，</w:t>
      </w:r>
      <w:r>
        <w:rPr>
          <w:rFonts w:hint="eastAsia"/>
        </w:rPr>
        <w:t>寻找</w:t>
      </w:r>
      <w:r>
        <w:t>利润增速的领先变量。</w:t>
      </w:r>
    </w:p>
    <w:p w14:paraId="2549B4FF" w14:textId="77777777" w:rsidR="00A41C34" w:rsidRDefault="00A41C34"/>
    <w:p w14:paraId="53062145" w14:textId="5E7533BB" w:rsidR="00B00746" w:rsidRDefault="00B00746">
      <w:r>
        <w:t>券商股：</w:t>
      </w:r>
    </w:p>
    <w:p w14:paraId="3CA34404" w14:textId="79D98DCA" w:rsidR="00B00746" w:rsidRDefault="00B00746">
      <w:r>
        <w:t>券商行业也属于周期行业，而且是强周期行业，</w:t>
      </w:r>
      <w:r>
        <w:rPr>
          <w:rFonts w:hint="eastAsia"/>
        </w:rPr>
        <w:t>利润波动</w:t>
      </w:r>
      <w:r>
        <w:t>较大，</w:t>
      </w:r>
      <w:r>
        <w:rPr>
          <w:rFonts w:hint="eastAsia"/>
        </w:rPr>
        <w:t>所以要估算</w:t>
      </w:r>
      <w:r>
        <w:t>券商的估值，</w:t>
      </w:r>
      <w:r>
        <w:rPr>
          <w:rFonts w:hint="eastAsia"/>
        </w:rPr>
        <w:t>需要</w:t>
      </w:r>
      <w:r>
        <w:t>采用</w:t>
      </w:r>
      <w:r>
        <w:t>“PB+</w:t>
      </w:r>
      <w:r>
        <w:rPr>
          <w:rFonts w:hint="eastAsia"/>
        </w:rPr>
        <w:t>ROE</w:t>
      </w:r>
      <w:r>
        <w:t>”</w:t>
      </w:r>
      <w:r>
        <w:t>的体系。</w:t>
      </w:r>
    </w:p>
    <w:p w14:paraId="398336C9" w14:textId="60C7E925" w:rsidR="00B00746" w:rsidRDefault="008D5C6A">
      <w:r w:rsidRPr="008D5C6A">
        <w:rPr>
          <w:noProof/>
        </w:rPr>
        <w:drawing>
          <wp:inline distT="0" distB="0" distL="0" distR="0" wp14:anchorId="70482241" wp14:editId="19E1B557">
            <wp:extent cx="5270500" cy="21621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9C22" w14:textId="1DE2EF96" w:rsidR="008D5C6A" w:rsidRDefault="008D5C6A"/>
    <w:p w14:paraId="524FB389" w14:textId="720D2855" w:rsidR="00616AD8" w:rsidRDefault="00616AD8">
      <w:r>
        <w:rPr>
          <w:rFonts w:hint="eastAsia"/>
        </w:rPr>
        <w:t>券商的</w:t>
      </w:r>
      <w:r>
        <w:t>主要收入为中间业务收入。</w:t>
      </w:r>
      <w:r w:rsidRPr="00616AD8">
        <w:t>以中信证券</w:t>
      </w:r>
      <w:r w:rsidRPr="00616AD8">
        <w:t>2016</w:t>
      </w:r>
      <w:r w:rsidRPr="00616AD8">
        <w:t>年年报的收入构成为例，经纪业务占比</w:t>
      </w:r>
      <w:r w:rsidRPr="00616AD8">
        <w:t>31.87%</w:t>
      </w:r>
      <w:r w:rsidRPr="00616AD8">
        <w:t>，资管业务占比</w:t>
      </w:r>
      <w:r w:rsidRPr="00616AD8">
        <w:t>18.84%</w:t>
      </w:r>
      <w:r w:rsidRPr="00616AD8">
        <w:t>，承销业务占比</w:t>
      </w:r>
      <w:r w:rsidRPr="00616AD8">
        <w:t>13.82%</w:t>
      </w:r>
      <w:r w:rsidRPr="00616AD8">
        <w:t>，三项合计</w:t>
      </w:r>
      <w:r w:rsidRPr="00616AD8">
        <w:t>64.53%</w:t>
      </w:r>
      <w:r w:rsidRPr="00616AD8">
        <w:t>，均为中间业务收入，投资业务仅占比</w:t>
      </w:r>
      <w:r w:rsidRPr="00616AD8">
        <w:t>12.85%</w:t>
      </w:r>
      <w:r w:rsidRPr="00616AD8">
        <w:t>。</w:t>
      </w:r>
    </w:p>
    <w:p w14:paraId="27C86804" w14:textId="1A038C84" w:rsidR="00616AD8" w:rsidRDefault="00616AD8">
      <w:r w:rsidRPr="00616AD8">
        <w:rPr>
          <w:noProof/>
        </w:rPr>
        <w:drawing>
          <wp:inline distT="0" distB="0" distL="0" distR="0" wp14:anchorId="15325AE1" wp14:editId="5541A47A">
            <wp:extent cx="5270500" cy="14484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3A4A" w14:textId="77777777" w:rsidR="00616AD8" w:rsidRDefault="00616AD8"/>
    <w:p w14:paraId="5EB61AFF" w14:textId="6732BCCC" w:rsidR="00616AD8" w:rsidRDefault="00616AD8">
      <w:r w:rsidRPr="00616AD8">
        <w:t>这与银行的收入模式有很大的不同</w:t>
      </w:r>
      <w:r w:rsidRPr="00616AD8">
        <w:t>——</w:t>
      </w:r>
      <w:r w:rsidRPr="00616AD8">
        <w:t>银行赚取的是票息收入，收入与资产规模有很大的相关性，在资产收益率稳定的情况下，</w:t>
      </w:r>
      <w:r w:rsidRPr="00616AD8">
        <w:t>ROE</w:t>
      </w:r>
      <w:r w:rsidRPr="00616AD8">
        <w:t>的波动性并不大；券商赚取的是中间业务收入与资产规模的相关性不大，所以，</w:t>
      </w:r>
      <w:r w:rsidRPr="00616AD8">
        <w:t>ROE</w:t>
      </w:r>
      <w:r w:rsidRPr="00616AD8">
        <w:t>表现出很大的波动性。</w:t>
      </w:r>
    </w:p>
    <w:p w14:paraId="2081DA7E" w14:textId="77777777" w:rsidR="00616AD8" w:rsidRDefault="00616AD8"/>
    <w:p w14:paraId="0AC21632" w14:textId="77777777" w:rsidR="00616AD8" w:rsidRPr="00616AD8" w:rsidRDefault="00616AD8" w:rsidP="00616AD8">
      <w:pPr>
        <w:autoSpaceDE w:val="0"/>
        <w:autoSpaceDN w:val="0"/>
        <w:adjustRightInd w:val="0"/>
        <w:spacing w:after="160"/>
        <w:ind w:left="160" w:right="160" w:hanging="160"/>
      </w:pPr>
      <w:r w:rsidRPr="00616AD8">
        <w:t>与此同时，由于券商的中间业务收入占所有收入的绝大多数，所以，把</w:t>
      </w:r>
      <w:r w:rsidRPr="00616AD8">
        <w:t>PB</w:t>
      </w:r>
      <w:r w:rsidRPr="00616AD8">
        <w:t>作为资产质量的标度已经毫无意义，它仅仅可以作为历史估值比较的工具。</w:t>
      </w:r>
    </w:p>
    <w:p w14:paraId="30A7DB55" w14:textId="77777777" w:rsidR="00616AD8" w:rsidRDefault="00616AD8"/>
    <w:p w14:paraId="2B56F1BC" w14:textId="77777777" w:rsidR="00616AD8" w:rsidRPr="00616AD8" w:rsidRDefault="00616AD8" w:rsidP="00616AD8">
      <w:pPr>
        <w:autoSpaceDE w:val="0"/>
        <w:autoSpaceDN w:val="0"/>
        <w:adjustRightInd w:val="0"/>
      </w:pPr>
      <w:r w:rsidRPr="00616AD8">
        <w:t>有人会问，既然券商股收益波动巨大，长期来看他的平均</w:t>
      </w:r>
      <w:r w:rsidRPr="00616AD8">
        <w:t>ROE</w:t>
      </w:r>
      <w:r w:rsidRPr="00616AD8">
        <w:t>也不如银行股，那他有什么投资价值？券商股的投资价值不在长期配置，而恰恰在于其收益波动，即在牛市的时候提供极高的弹性</w:t>
      </w:r>
      <w:r w:rsidRPr="00616AD8">
        <w:t>——</w:t>
      </w:r>
      <w:r w:rsidRPr="00616AD8">
        <w:t>贝塔。首先，我们在这里简单说明一</w:t>
      </w:r>
      <w:r w:rsidRPr="00616AD8">
        <w:lastRenderedPageBreak/>
        <w:t>下贝塔，为了分析一个组合在一段时间内的表现，我们一般会把这个组合跟沪深</w:t>
      </w:r>
      <w:r w:rsidRPr="00616AD8">
        <w:t>300</w:t>
      </w:r>
      <w:r w:rsidRPr="00616AD8">
        <w:t>指数在这段时间的表现回归，表达成</w:t>
      </w:r>
      <w:r w:rsidRPr="00616AD8">
        <w:t>Y=</w:t>
      </w:r>
      <w:proofErr w:type="spellStart"/>
      <w:r w:rsidRPr="00616AD8">
        <w:t>Alpha+Beta</w:t>
      </w:r>
      <w:proofErr w:type="spellEnd"/>
      <w:r w:rsidRPr="00616AD8">
        <w:t xml:space="preserve">*X </w:t>
      </w:r>
      <w:r w:rsidRPr="00616AD8">
        <w:t>的形式。高贝塔的组合有什么好处呢？在牛市的时候，我们希望自己的组合的弹性越高越好，若一个组合贝塔是</w:t>
      </w:r>
      <w:r w:rsidRPr="00616AD8">
        <w:t>2</w:t>
      </w:r>
      <w:r w:rsidRPr="00616AD8">
        <w:t>的话，则沪深</w:t>
      </w:r>
      <w:r w:rsidRPr="00616AD8">
        <w:t>300</w:t>
      </w:r>
      <w:r w:rsidRPr="00616AD8">
        <w:t>指数每上涨</w:t>
      </w:r>
      <w:r w:rsidRPr="00616AD8">
        <w:t>1%</w:t>
      </w:r>
      <w:r w:rsidRPr="00616AD8">
        <w:t>，该组合上涨</w:t>
      </w:r>
      <w:r w:rsidRPr="00616AD8">
        <w:t>2%</w:t>
      </w:r>
      <w:r w:rsidRPr="00616AD8">
        <w:t>。我们以最容易获得的贝塔作为比较基准</w:t>
      </w:r>
      <w:r w:rsidRPr="00616AD8">
        <w:t>——</w:t>
      </w:r>
      <w:r w:rsidRPr="00616AD8">
        <w:t>即用本金买入一份沪深</w:t>
      </w:r>
      <w:r w:rsidRPr="00616AD8">
        <w:t>300ETF</w:t>
      </w:r>
      <w:r w:rsidRPr="00616AD8">
        <w:t>，再通过融资融券杠杆买入另一份沪深</w:t>
      </w:r>
      <w:r w:rsidRPr="00616AD8">
        <w:t>300ETF</w:t>
      </w:r>
      <w:r w:rsidRPr="00616AD8">
        <w:t>，于是组合的贝塔变成</w:t>
      </w:r>
      <w:r w:rsidRPr="00616AD8">
        <w:t>2</w:t>
      </w:r>
      <w:r w:rsidRPr="00616AD8">
        <w:t>，但是，融资融券有成本，年化</w:t>
      </w:r>
      <w:r w:rsidRPr="00616AD8">
        <w:t>8%</w:t>
      </w:r>
      <w:r w:rsidRPr="00616AD8">
        <w:t>左右。因此，牛市的时候买入高贝塔的券商股，就可以节省大量的杠杆成本。</w:t>
      </w:r>
    </w:p>
    <w:p w14:paraId="5832AE56" w14:textId="77777777" w:rsidR="00616AD8" w:rsidRDefault="00616AD8"/>
    <w:p w14:paraId="6398346B" w14:textId="77777777" w:rsidR="00616AD8" w:rsidRPr="00616AD8" w:rsidRDefault="00616AD8" w:rsidP="00616AD8">
      <w:r w:rsidRPr="00616AD8">
        <w:t>根据中信证券及沪深</w:t>
      </w:r>
      <w:r w:rsidRPr="00616AD8">
        <w:t>300</w:t>
      </w:r>
      <w:r w:rsidRPr="00616AD8">
        <w:t>指数的历史数据，以</w:t>
      </w:r>
      <w:r w:rsidRPr="00616AD8">
        <w:t>180</w:t>
      </w:r>
      <w:r w:rsidRPr="00616AD8">
        <w:t>天为间隔，我们计算了中信证券的动态阿尔法和贝塔，得到下图，</w:t>
      </w:r>
      <w:r w:rsidRPr="00616AD8">
        <w:t>2014-2015</w:t>
      </w:r>
      <w:r w:rsidRPr="00616AD8">
        <w:t>年的牛市期间，中信证券的动态贝塔急速攀升，最高的时候超过</w:t>
      </w:r>
      <w:r w:rsidRPr="00616AD8">
        <w:t>2</w:t>
      </w:r>
      <w:r w:rsidRPr="00616AD8">
        <w:t>，且有正的阿尔法收益，在这时候，通过买入券商股来获取便宜的贝塔是合意的。</w:t>
      </w:r>
    </w:p>
    <w:p w14:paraId="6B455284" w14:textId="392DF9C8" w:rsidR="00616AD8" w:rsidRDefault="00616AD8">
      <w:r>
        <w:rPr>
          <w:rFonts w:ascii="Helvetica" w:hAnsi="Helvetica" w:cs="Helvetica"/>
          <w:noProof/>
        </w:rPr>
        <w:drawing>
          <wp:inline distT="0" distB="0" distL="0" distR="0" wp14:anchorId="33D44E9D" wp14:editId="72AB1D8F">
            <wp:extent cx="5270500" cy="24041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EC37" w14:textId="77777777" w:rsidR="00616AD8" w:rsidRDefault="00616AD8"/>
    <w:p w14:paraId="052B33A7" w14:textId="656942F1" w:rsidR="00616AD8" w:rsidRPr="00C612AC" w:rsidRDefault="00616AD8">
      <w:r w:rsidRPr="00C612AC">
        <w:t>但是，在</w:t>
      </w:r>
      <w:r w:rsidRPr="00C612AC">
        <w:t>2017</w:t>
      </w:r>
      <w:r w:rsidRPr="00C612AC">
        <w:t>年的结构性牛市里，中信证券并没有好的表现</w:t>
      </w:r>
      <w:r w:rsidRPr="00C612AC">
        <w:t>——</w:t>
      </w:r>
      <w:r w:rsidRPr="00C612AC">
        <w:t>既没有提供足够的贝塔，阿尔法还是负的。</w:t>
      </w:r>
    </w:p>
    <w:p w14:paraId="0160B604" w14:textId="089D9399" w:rsidR="00C612AC" w:rsidRDefault="00C612AC">
      <w:r w:rsidRPr="00C612AC">
        <w:rPr>
          <w:rFonts w:ascii="Helvetica Neue" w:hAnsi="Helvetica Neue" w:cs="Helvetica Neue"/>
          <w:noProof/>
          <w:color w:val="262626"/>
          <w:sz w:val="34"/>
          <w:szCs w:val="34"/>
        </w:rPr>
        <w:drawing>
          <wp:inline distT="0" distB="0" distL="0" distR="0" wp14:anchorId="20341360" wp14:editId="344BF4AA">
            <wp:extent cx="5270500" cy="2387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E5C3" w14:textId="77777777" w:rsidR="00C612AC" w:rsidRDefault="00C612AC"/>
    <w:p w14:paraId="2DD9C7CA" w14:textId="77777777" w:rsidR="00C612AC" w:rsidRPr="00C612AC" w:rsidRDefault="00C612AC" w:rsidP="00C612AC">
      <w:r w:rsidRPr="00C612AC">
        <w:t>2017</w:t>
      </w:r>
      <w:r w:rsidRPr="00C612AC">
        <w:t>年券商股贝塔的消失的确有点让人困惑，但是，通过微观分析券商的收入结构，我们还是能找到些许启示的。在</w:t>
      </w:r>
      <w:r w:rsidRPr="00C612AC">
        <w:t>2014-2015</w:t>
      </w:r>
      <w:r w:rsidRPr="00C612AC">
        <w:t>年的牛市，沪深两市的成交量经历了从</w:t>
      </w:r>
      <w:r w:rsidRPr="00C612AC">
        <w:t>1500</w:t>
      </w:r>
      <w:r w:rsidRPr="00C612AC">
        <w:t>亿左右日均交易规模到</w:t>
      </w:r>
      <w:r w:rsidRPr="00C612AC">
        <w:t>5000</w:t>
      </w:r>
      <w:r w:rsidRPr="00C612AC">
        <w:t>亿的跨越，使得经纪业务的收入爆炸式的上涨，然而，</w:t>
      </w:r>
      <w:r w:rsidRPr="00C612AC">
        <w:t>2017</w:t>
      </w:r>
      <w:r w:rsidRPr="00C612AC">
        <w:t>年沪深两市的成交量并没有多大的增长。具体见下图：</w:t>
      </w:r>
    </w:p>
    <w:p w14:paraId="12930955" w14:textId="6677EFC3" w:rsidR="00C612AC" w:rsidRDefault="00C612AC">
      <w:r>
        <w:rPr>
          <w:rFonts w:ascii="Helvetica" w:hAnsi="Helvetica" w:cs="Helvetica"/>
          <w:noProof/>
        </w:rPr>
        <w:drawing>
          <wp:inline distT="0" distB="0" distL="0" distR="0" wp14:anchorId="2235F93D" wp14:editId="387395AC">
            <wp:extent cx="5270500" cy="20320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BE8D" w14:textId="77777777" w:rsidR="00C612AC" w:rsidRDefault="00C612AC"/>
    <w:p w14:paraId="466C67CE" w14:textId="77777777" w:rsidR="00C612AC" w:rsidRPr="00C612AC" w:rsidRDefault="00C612AC" w:rsidP="00C612AC">
      <w:pPr>
        <w:autoSpaceDE w:val="0"/>
        <w:autoSpaceDN w:val="0"/>
        <w:adjustRightInd w:val="0"/>
      </w:pPr>
      <w:r w:rsidRPr="00C612AC">
        <w:t>由于券商的经纪业务收入占券商营业收入的比例很高，所以，券商业绩表现与沪深两市成交量保持了较高的相关性。因此，我们有理由相信，券商股所谓的牛市弹性，更多的是针对沪深两市成交量的，而非沪深</w:t>
      </w:r>
      <w:r w:rsidRPr="00C612AC">
        <w:t>300</w:t>
      </w:r>
      <w:r w:rsidRPr="00C612AC">
        <w:t>指数的。</w:t>
      </w:r>
    </w:p>
    <w:p w14:paraId="0638039D" w14:textId="77777777" w:rsidR="00C612AC" w:rsidRDefault="00C612AC"/>
    <w:p w14:paraId="6E39A80F" w14:textId="77777777" w:rsidR="00C612AC" w:rsidRPr="00C612AC" w:rsidRDefault="00C612AC" w:rsidP="00C612AC">
      <w:pPr>
        <w:autoSpaceDE w:val="0"/>
        <w:autoSpaceDN w:val="0"/>
        <w:adjustRightInd w:val="0"/>
      </w:pPr>
      <w:r w:rsidRPr="00C612AC">
        <w:t>一般而言，券商股的长期配置价值弱于银行股，其投资价值主要体现在牛市时候可以提供相对便宜的贝塔，而且，这种弹性（贝塔）主要是针对沪深两市成交量的弹性，而非对沪深</w:t>
      </w:r>
      <w:r w:rsidRPr="00C612AC">
        <w:t>300</w:t>
      </w:r>
      <w:r w:rsidRPr="00C612AC">
        <w:t>指数的弹性。于是，我们就得到了投资券商股的一般条件：</w:t>
      </w:r>
      <w:r w:rsidRPr="00C612AC">
        <w:t>1</w:t>
      </w:r>
      <w:r w:rsidRPr="00C612AC">
        <w:t>、市场是牛市，因为牛市才需要加贝塔；</w:t>
      </w:r>
      <w:r w:rsidRPr="00C612AC">
        <w:t>2</w:t>
      </w:r>
      <w:r w:rsidRPr="00C612AC">
        <w:t>、市场成交量大幅度提升，因为券商股的贝塔是针对沪深两市成交量的；而这两条又意味着，相对宽松的货币环境。</w:t>
      </w:r>
    </w:p>
    <w:p w14:paraId="47D7374E" w14:textId="77777777" w:rsidR="00C612AC" w:rsidRDefault="00C612AC"/>
    <w:p w14:paraId="34F12B1B" w14:textId="3366814D" w:rsidR="00C612AC" w:rsidRDefault="00C612AC">
      <w:r>
        <w:t>分析当下（</w:t>
      </w:r>
      <w:r>
        <w:t>2019.12.15</w:t>
      </w:r>
      <w:r>
        <w:t>）：</w:t>
      </w:r>
    </w:p>
    <w:p w14:paraId="7DAFB516" w14:textId="77777777" w:rsidR="00C612AC" w:rsidRDefault="00C612AC" w:rsidP="00C612AC">
      <w:r w:rsidRPr="00C612AC">
        <w:rPr>
          <w:rFonts w:hint="eastAsia"/>
        </w:rPr>
        <w:t>主要原因有三点：</w:t>
      </w:r>
      <w:r w:rsidRPr="00C612AC">
        <w:rPr>
          <w:rFonts w:hint="eastAsia"/>
        </w:rPr>
        <w:t xml:space="preserve"> </w:t>
      </w:r>
    </w:p>
    <w:p w14:paraId="4EA1801E" w14:textId="77777777" w:rsidR="00C612AC" w:rsidRDefault="00C612AC" w:rsidP="00C612AC"/>
    <w:p w14:paraId="79A00520" w14:textId="77777777" w:rsidR="00F60C99" w:rsidRDefault="00C612AC" w:rsidP="00C612AC">
      <w:r w:rsidRPr="00C612AC">
        <w:rPr>
          <w:rFonts w:hint="eastAsia"/>
        </w:rPr>
        <w:t>1</w:t>
      </w:r>
      <w:r w:rsidRPr="00C612AC">
        <w:rPr>
          <w:rFonts w:hint="eastAsia"/>
        </w:rPr>
        <w:t>、风险偏好回升；</w:t>
      </w:r>
      <w:r w:rsidRPr="00C612AC">
        <w:rPr>
          <w:rFonts w:hint="eastAsia"/>
        </w:rPr>
        <w:t xml:space="preserve"> </w:t>
      </w:r>
    </w:p>
    <w:p w14:paraId="70D57173" w14:textId="77777777" w:rsidR="00F60C99" w:rsidRDefault="00C612AC" w:rsidP="00C612AC">
      <w:r w:rsidRPr="00C612AC">
        <w:rPr>
          <w:rFonts w:hint="eastAsia"/>
        </w:rPr>
        <w:t>2</w:t>
      </w:r>
      <w:r w:rsidRPr="00C612AC">
        <w:rPr>
          <w:rFonts w:hint="eastAsia"/>
        </w:rPr>
        <w:t>、沪深两市成交量回升；</w:t>
      </w:r>
      <w:r w:rsidRPr="00C612AC">
        <w:rPr>
          <w:rFonts w:hint="eastAsia"/>
        </w:rPr>
        <w:t xml:space="preserve"> </w:t>
      </w:r>
    </w:p>
    <w:p w14:paraId="6A0458C2" w14:textId="77777777" w:rsidR="00F60C99" w:rsidRDefault="00C612AC" w:rsidP="00C612AC">
      <w:r w:rsidRPr="00C612AC">
        <w:rPr>
          <w:rFonts w:hint="eastAsia"/>
        </w:rPr>
        <w:t>3</w:t>
      </w:r>
      <w:r w:rsidRPr="00C612AC">
        <w:rPr>
          <w:rFonts w:hint="eastAsia"/>
        </w:rPr>
        <w:t>、融资融券余额回升；</w:t>
      </w:r>
      <w:r w:rsidRPr="00C612AC">
        <w:rPr>
          <w:rFonts w:hint="eastAsia"/>
        </w:rPr>
        <w:t xml:space="preserve"> </w:t>
      </w:r>
    </w:p>
    <w:p w14:paraId="4EF8CF5C" w14:textId="77777777" w:rsidR="00F60C99" w:rsidRDefault="00C612AC" w:rsidP="00C612AC">
      <w:r w:rsidRPr="00C612AC">
        <w:rPr>
          <w:rFonts w:hint="eastAsia"/>
        </w:rPr>
        <w:t>4</w:t>
      </w:r>
      <w:r w:rsidRPr="00C612AC">
        <w:rPr>
          <w:rFonts w:hint="eastAsia"/>
        </w:rPr>
        <w:t>、</w:t>
      </w:r>
      <w:r w:rsidRPr="00C612AC">
        <w:rPr>
          <w:rFonts w:hint="eastAsia"/>
        </w:rPr>
        <w:t>YY</w:t>
      </w:r>
      <w:r w:rsidRPr="00C612AC">
        <w:rPr>
          <w:rFonts w:hint="eastAsia"/>
        </w:rPr>
        <w:t>牛市撸券商的传统。</w:t>
      </w:r>
      <w:r w:rsidRPr="00C612AC">
        <w:rPr>
          <w:rFonts w:hint="eastAsia"/>
        </w:rPr>
        <w:t xml:space="preserve"> </w:t>
      </w:r>
    </w:p>
    <w:p w14:paraId="0EA75189" w14:textId="77777777" w:rsidR="00F60C99" w:rsidRDefault="00F60C99" w:rsidP="00C612AC"/>
    <w:p w14:paraId="5E0A7670" w14:textId="77777777" w:rsidR="004F7A19" w:rsidRDefault="00F60C99" w:rsidP="00C612AC">
      <w:r>
        <w:rPr>
          <w:rFonts w:hint="eastAsia"/>
        </w:rPr>
        <w:t>风险偏好回升是大概率的，美国</w:t>
      </w:r>
      <w:r w:rsidR="00C612AC" w:rsidRPr="00C612AC">
        <w:rPr>
          <w:rFonts w:hint="eastAsia"/>
        </w:rPr>
        <w:t>要大选，没空管我们。</w:t>
      </w:r>
      <w:r w:rsidR="00C612AC" w:rsidRPr="00C612AC">
        <w:rPr>
          <w:rFonts w:hint="eastAsia"/>
        </w:rPr>
        <w:t xml:space="preserve"> </w:t>
      </w:r>
    </w:p>
    <w:p w14:paraId="74230E44" w14:textId="77777777" w:rsidR="004F7A19" w:rsidRDefault="004F7A19" w:rsidP="00C612AC"/>
    <w:p w14:paraId="7FE72B2E" w14:textId="77777777" w:rsidR="004F7A19" w:rsidRDefault="00C612AC" w:rsidP="00C612AC">
      <w:r w:rsidRPr="00C612AC">
        <w:rPr>
          <w:rFonts w:hint="eastAsia"/>
        </w:rPr>
        <w:t>成交量涉及到经纪业务收入，融资融券涉及到利息收入。这两块的数据比较高频，很好跟。</w:t>
      </w:r>
      <w:r w:rsidRPr="00C612AC">
        <w:rPr>
          <w:rFonts w:hint="eastAsia"/>
        </w:rPr>
        <w:t xml:space="preserve"> </w:t>
      </w:r>
      <w:r w:rsidRPr="00C612AC">
        <w:rPr>
          <w:rFonts w:hint="eastAsia"/>
        </w:rPr>
        <w:t>投行业务，格局很固定。稍微有点差别的是不同券商投行业务收入的占比，占比越高的股价越肉，占比越低的越有弹性。（实际上，就是看经纪业务和两融业务的占比）。牛市真起来了，投行业务高的券商才会正儿八经的追上来，他们的投行业务也会受益于牛市，只不过比较滞后。</w:t>
      </w:r>
      <w:r w:rsidRPr="00C612AC">
        <w:rPr>
          <w:rFonts w:hint="eastAsia"/>
        </w:rPr>
        <w:t xml:space="preserve"> </w:t>
      </w:r>
      <w:r w:rsidRPr="00C612AC">
        <w:rPr>
          <w:rFonts w:hint="eastAsia"/>
        </w:rPr>
        <w:t>所以，一般而言小券商开头涨得猛，后面就不行了。大券商则比较有持续性。（如果有牛市的话）</w:t>
      </w:r>
      <w:r w:rsidRPr="00C612AC">
        <w:rPr>
          <w:rFonts w:hint="eastAsia"/>
        </w:rPr>
        <w:t xml:space="preserve"> </w:t>
      </w:r>
    </w:p>
    <w:p w14:paraId="0F1A556F" w14:textId="77777777" w:rsidR="004F7A19" w:rsidRDefault="004F7A19" w:rsidP="00C612AC"/>
    <w:p w14:paraId="7A0DC79C" w14:textId="09D66464" w:rsidR="00C612AC" w:rsidRPr="00C612AC" w:rsidRDefault="00C612AC" w:rsidP="00C612AC">
      <w:r w:rsidRPr="00C612AC">
        <w:rPr>
          <w:rFonts w:hint="eastAsia"/>
        </w:rPr>
        <w:t>对于第</w:t>
      </w:r>
      <w:r w:rsidRPr="00C612AC">
        <w:rPr>
          <w:rFonts w:hint="eastAsia"/>
        </w:rPr>
        <w:t>4</w:t>
      </w:r>
      <w:r w:rsidRPr="00C612AC">
        <w:rPr>
          <w:rFonts w:hint="eastAsia"/>
        </w:rPr>
        <w:t>点，只要有一些投资年头的，想必都经历过牛市启动前券商股的疯狂。所以，每次</w:t>
      </w:r>
      <w:r w:rsidRPr="00C612AC">
        <w:rPr>
          <w:rFonts w:hint="eastAsia"/>
        </w:rPr>
        <w:t>YY</w:t>
      </w:r>
      <w:r w:rsidRPr="00C612AC">
        <w:rPr>
          <w:rFonts w:hint="eastAsia"/>
        </w:rPr>
        <w:t>牛市大家总会薅一把券商股。事实上，投资券商股也不是要你算命——预测会不会有牛市。我一直觉得券商股跟贵金属股票差不多，人家是跟着高频的价格撸，这个是跟着高频的成交量和两融余额撸。只要这两个数一直保持向上，大家总是会</w:t>
      </w:r>
      <w:r w:rsidRPr="00C612AC">
        <w:rPr>
          <w:rFonts w:hint="eastAsia"/>
        </w:rPr>
        <w:t>YY</w:t>
      </w:r>
      <w:r w:rsidRPr="00C612AC">
        <w:rPr>
          <w:rFonts w:hint="eastAsia"/>
        </w:rPr>
        <w:t>；要是歇菜了，也千万别犟。拿着券商股或者贵金属股票搞价值投资，真是毁人不倦。投资要诚实，不要搞些似是而非的东西，言语上的胜利毫无意义。投机就是投机，看清楚投机的是啥，就是投资了；道德上的优越感不能保证赚钱。</w:t>
      </w:r>
    </w:p>
    <w:p w14:paraId="22FF4165" w14:textId="6CD77B26" w:rsidR="00C612AC" w:rsidRDefault="000A7C8E">
      <w:r w:rsidRPr="000A7C8E">
        <w:drawing>
          <wp:inline distT="0" distB="0" distL="0" distR="0" wp14:anchorId="219C5D90" wp14:editId="1FACEC90">
            <wp:extent cx="5270500" cy="25806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2AC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47"/>
    <w:rsid w:val="000021E4"/>
    <w:rsid w:val="000A7C8E"/>
    <w:rsid w:val="001E15F5"/>
    <w:rsid w:val="00485247"/>
    <w:rsid w:val="004F7A19"/>
    <w:rsid w:val="00616AD8"/>
    <w:rsid w:val="008D5C6A"/>
    <w:rsid w:val="00A41C34"/>
    <w:rsid w:val="00B00746"/>
    <w:rsid w:val="00BB2D9D"/>
    <w:rsid w:val="00BC678A"/>
    <w:rsid w:val="00C612AC"/>
    <w:rsid w:val="00CC3AB4"/>
    <w:rsid w:val="00E01C77"/>
    <w:rsid w:val="00F6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DED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0746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7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306</Words>
  <Characters>1747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2019-12-17T13:17:00Z</dcterms:created>
  <dcterms:modified xsi:type="dcterms:W3CDTF">2019-12-17T13:50:00Z</dcterms:modified>
</cp:coreProperties>
</file>