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4907A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2020-3-4</w:t>
      </w:r>
      <w:bookmarkEnd w:id="0"/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，今天上证指数低开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0.31%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，深证指数低开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0.52%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，创业板低开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0.40%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。上证指数盘中维持震荡，收涨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0.63%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；深证指数盘中一度跌至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1.84%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，收涨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0.08%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；创业板盘中一度跌至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2.47%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，收跌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0.18%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0.89%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0.58%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9A7777B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昨晚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G-7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紧急电话会议结束后，各国没有标明具体的策略，股市应声下跌，欧股尾盘涨幅收窄。美股期货盘前一度翻绿。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89F7762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开盘后，美联储宣布降息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个基点，美股一度翻红。随后低走，收盘大跌。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说明，现在的美国经济并不是需求出了问题，降息只能解决资金需求侧的问题。大家还是预期经济衰退，需要财政刺激来拉动资金的需求。货币政策只能作为辅助（我们央妈今天就没动）。</w:t>
      </w:r>
    </w:p>
    <w:p w14:paraId="48B3D24D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股开盘低开了一下，然后就走自己的行情了。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今天基建、地产涨得比较好，风格偏蓝筹；科技股走的比较差，跌幅靠前。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有些人今天盘前卖出了股票，以为美股因为经济衰退预期带来的下跌，会在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股上演。但是，我们通过银行在逆周期的时候回补实体经济，把经济不好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信用利差扩大的链条切断了。也就是说，国内经济下行，或者国外经济下行都不会影响个股，只要是该股票所在行业的趋势可以即可。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597BCCC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那么，为啥地产在央行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“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房住不炒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”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“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不把房地产作为刺激经济的手段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”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的号召下，地产还涨的不错？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932BC5F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房产可以从供需两个方面进行分析。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A714F52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房产的需求因素：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、居民按揭贷款的信贷条件（央行把控）；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、限购、限贷政策（地方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ZF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把控）。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7FCC936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央行对于第一个因素的口径一直没变。地方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ZF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从去年开始对于第二个因素换成了因城施策。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7C0274F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房子的供给因素：最重要的是房企的融资条件（央行把控）。</w:t>
      </w:r>
    </w:p>
    <w:p w14:paraId="61B0E3EE" w14:textId="77777777" w:rsidR="00390F3F" w:rsidRPr="00390F3F" w:rsidRDefault="00390F3F" w:rsidP="00390F3F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房企的融资来源也就是他们的面粉（买地），在现在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影响下，大家复工不积极的情况下，被放开了。再加上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LPR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降息预期强烈，房企们的面粉变得便宜了。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390F3F">
        <w:rPr>
          <w:rFonts w:ascii="Helvetica Neue" w:hAnsi="Helvetica Neue" w:cs="Times New Roman"/>
          <w:color w:val="33353C"/>
          <w:kern w:val="0"/>
          <w:sz w:val="23"/>
          <w:szCs w:val="23"/>
        </w:rPr>
        <w:t>所以，这次上涨是因为供给侧的放松带来的房企利润增加预期。</w:t>
      </w:r>
    </w:p>
    <w:p w14:paraId="5A250052" w14:textId="77777777" w:rsidR="00390F3F" w:rsidRPr="00390F3F" w:rsidRDefault="00390F3F" w:rsidP="00390F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0F3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6466C01" wp14:editId="16AA49B1">
            <wp:extent cx="4572000" cy="1983740"/>
            <wp:effectExtent l="0" t="0" r="0" b="0"/>
            <wp:docPr id="1" name="图片 1" descr="https://xqimg.imedao.com/170a574e3fcf18f3fc50326f.jpe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a574e3fcf18f3fc50326f.jpe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21FA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3F"/>
    <w:rsid w:val="00305835"/>
    <w:rsid w:val="00390F3F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1E2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F3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2020-06-29T16:46:00Z</dcterms:created>
  <dcterms:modified xsi:type="dcterms:W3CDTF">2020-06-29T16:46:00Z</dcterms:modified>
</cp:coreProperties>
</file>