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D63F1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2020-5-22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，股票市场和债券市场</w:t>
      </w:r>
    </w:p>
    <w:bookmarkEnd w:id="0"/>
    <w:p w14:paraId="7EF008D6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海外资金全球配置：偏负面</w:t>
      </w:r>
    </w:p>
    <w:p w14:paraId="598FF659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货币政策：美联储已经将利率降至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0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，并开始减缓购债速度，并且拒绝负利率。流动性的宽松不会加大了，贴现率压不下去了，这一波的估值行情有点走不动了。</w:t>
      </w:r>
    </w:p>
    <w:p w14:paraId="02EA90DF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财政政策：美国政府也在一波接一波出台政策刺激经济，对股市是利好。</w:t>
      </w:r>
    </w:p>
    <w:p w14:paraId="7BC47AFF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风险偏好：今天两会召开，关于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HK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的统一的表述受到特朗普的强烈反击。</w:t>
      </w:r>
    </w:p>
    <w:p w14:paraId="3BAF8D7D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陆股通全天流入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-22.65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58D3C0C3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货币政策：偏中性</w:t>
      </w:r>
    </w:p>
    <w:p w14:paraId="4E96D633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央行公告称，目前银行体系流动性总量处于合理充裕水平，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2020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22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日不开展逆回购操作。今日无央行逆回购到期。</w:t>
      </w:r>
    </w:p>
    <w:p w14:paraId="0BA448CF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风险偏好（散户）：偏中性</w:t>
      </w:r>
    </w:p>
    <w:p w14:paraId="3889DE5A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截至周四（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21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日），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股融资融券余额为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10835.34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亿元，较前一交易日的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10844.50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亿元减少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9.16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1C240288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信贷环境：偏中性</w:t>
      </w:r>
    </w:p>
    <w:p w14:paraId="2C81DB19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短端流动性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合理充裕，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3M-shibor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开始出现企稳。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DR001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DR007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开始出现企稳。</w:t>
      </w:r>
    </w:p>
    <w:p w14:paraId="0CBF10B2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降准预期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预期缓和，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个月国开债利差下降。</w:t>
      </w:r>
    </w:p>
    <w:p w14:paraId="18F04280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通胀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个月国开债利差正在缩小，通胀往下。</w:t>
      </w:r>
    </w:p>
    <w:p w14:paraId="5433E710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流动性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——3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信用债到期收益率目前有上行的趋势，收益率压不下去了，这一波的估值行情有点走不动了。</w:t>
      </w:r>
    </w:p>
    <w:p w14:paraId="6634445A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增长趋势：偏正面</w:t>
      </w:r>
    </w:p>
    <w:p w14:paraId="7E2F0DFA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：一季度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增速同比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-6.8%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，前值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6%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；（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主要由生产、投资和消费构成）</w:t>
      </w:r>
    </w:p>
    <w:p w14:paraId="6E38357D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经济预期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年国债、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10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年国开债收益率反弹，经济预期转为乐观。</w:t>
      </w:r>
    </w:p>
    <w:p w14:paraId="7D68FE68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社融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增速向上。</w:t>
      </w:r>
    </w:p>
    <w:p w14:paraId="3FF4E1AE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BCI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指数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30829A77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投资、消费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1D6CA14C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政策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稳字当头，意味着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6B74A0D2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赚钱效应：偏负面</w:t>
      </w:r>
    </w:p>
    <w:p w14:paraId="744A8BAD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截止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股收盘，上涨的股票有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699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只，下跌的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3019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只。</w:t>
      </w:r>
    </w:p>
    <w:p w14:paraId="6ADD618F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从盘面来看，成交量比上个交易日下降，成交额下降，成交价下降，可以看出市场的卖盘增加。</w:t>
      </w:r>
    </w:p>
    <w:p w14:paraId="49F49293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市场风格：</w:t>
      </w:r>
    </w:p>
    <w:p w14:paraId="46A7F355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今天两会召开，受到关于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HK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和统一的相关政策影响，港股暴跌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-5.56%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股市场受到拖累也大跌，上证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-2.49%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-2.29%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，创业板指跌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-2.52%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342EED3B" w14:textId="77777777" w:rsidR="007112E9" w:rsidRPr="007112E9" w:rsidRDefault="007112E9" w:rsidP="007112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112E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DEBE0E9" wp14:editId="2D200FE1">
            <wp:extent cx="4572000" cy="1343660"/>
            <wp:effectExtent l="0" t="0" r="0" b="2540"/>
            <wp:docPr id="4" name="图片 4" descr="https://xqimg.imedao.com/1723bf385bd1bfa3fe0348fc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23bf385bd1bfa3fe0348fc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B2C0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lastRenderedPageBreak/>
        <w:t>十年国开债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190215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下行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9.25BP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，收盘至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2.9950%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178919B6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北上资金结束净流入，今天净流出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-22.65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亿元，北上资金在一定程度上代表长期资金的入驻，而且已经连续将近一个月净流入，今天很可能就是这一阶段的拐点。</w:t>
      </w:r>
    </w:p>
    <w:p w14:paraId="01AC2A2C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股息率相对于债券收益率。</w:t>
      </w:r>
    </w:p>
    <w:p w14:paraId="44DA7F4C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今天大盘比较惨，成交额破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6000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亿，缩量下跌，没人接盘。主要是今天两会召开，报告了对于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HK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和统一的观点，导致港股暴跌，进而拖累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股。结合最近一段时间的消息来说：</w:t>
      </w:r>
    </w:p>
    <w:p w14:paraId="0D5271FD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科技：台积电美国设厂；封锁华为。</w:t>
      </w:r>
    </w:p>
    <w:p w14:paraId="2EEBA631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金融：限制中国企业赴美上市。</w:t>
      </w:r>
    </w:p>
    <w:p w14:paraId="215370E2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军事：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HK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基本法的修改。</w:t>
      </w:r>
    </w:p>
    <w:p w14:paraId="191E41BB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容易给人形成两大国对抗加剧的趋势，导致风险偏好急剧下降；加上最近流动性已经处于拐头的趋势，并不太好；经济还在缓慢爬坡，短期并没有改善。三个因素导致今天大盘头也不回的往下跌。从板块来看，今天领跌的主要是食品饮料、建筑材料和医药生物，这三个板块都是防御板块，也是外资最青睐的板块，如果前段时间不断流入的外资开始卖出操作，那么可能这些板块的调整会比较就比较大。目前食品饮料还未跌破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20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日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K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线，医药生物已经跌破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20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日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K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线，建筑材料比较惨，已经跌破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20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日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K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线，触及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60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日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K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线，如果跌破的话，短期是回不来了。是否会形成趋势还需要进一步观察。</w:t>
      </w:r>
    </w:p>
    <w:p w14:paraId="38CC5C2E" w14:textId="77777777" w:rsidR="007112E9" w:rsidRPr="007112E9" w:rsidRDefault="007112E9" w:rsidP="007112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112E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20DFE49" wp14:editId="2DE0FE4D">
            <wp:extent cx="4572000" cy="1371600"/>
            <wp:effectExtent l="0" t="0" r="0" b="0"/>
            <wp:docPr id="3" name="图片 3" descr="https://xqimg.imedao.com/1723bf3dd281b7e3fcc53bab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23bf3dd281b7e3fcc53bab.pn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E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B88AA43" wp14:editId="34F8A176">
            <wp:extent cx="4572000" cy="1350645"/>
            <wp:effectExtent l="0" t="0" r="0" b="0"/>
            <wp:docPr id="2" name="图片 2" descr="https://xqimg.imedao.com/1723bf40a5d1bcb3feb0b121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xqimg.imedao.com/1723bf40a5d1bcb3feb0b121.png!cust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E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156EC88" wp14:editId="3EBCEDE1">
            <wp:extent cx="4572000" cy="1343660"/>
            <wp:effectExtent l="0" t="0" r="0" b="2540"/>
            <wp:docPr id="1" name="图片 1" descr="https://xqimg.imedao.com/1723bf429ba1bfd3feb57871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723bf429ba1bfd3feb57871.png!cust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21DD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公募基金一季度的持仓相较年初的持仓从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89%-&gt;86%</w:t>
      </w: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，赌场的资金又减少了，不是个好消息。</w:t>
      </w:r>
    </w:p>
    <w:p w14:paraId="7A94C3E5" w14:textId="77777777" w:rsidR="007112E9" w:rsidRPr="007112E9" w:rsidRDefault="007112E9" w:rsidP="007112E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112E9">
        <w:rPr>
          <w:rFonts w:ascii="Helvetica Neue" w:hAnsi="Helvetica Neue" w:cs="Times New Roman"/>
          <w:color w:val="33353C"/>
          <w:kern w:val="0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382C1344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E9"/>
    <w:rsid w:val="00305835"/>
    <w:rsid w:val="007112E9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2EB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2E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1298</Characters>
  <Application>Microsoft Macintosh Word</Application>
  <DocSecurity>0</DocSecurity>
  <Lines>10</Lines>
  <Paragraphs>3</Paragraphs>
  <ScaleCrop>false</ScaleCrop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2020-06-29T16:26:00Z</dcterms:created>
  <dcterms:modified xsi:type="dcterms:W3CDTF">2020-06-29T16:26:00Z</dcterms:modified>
</cp:coreProperties>
</file>