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5714B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bookmarkStart w:id="0" w:name="_GoBack"/>
      <w:r>
        <w:rPr>
          <w:rFonts w:ascii="Helvetica Neue" w:hAnsi="Helvetica Neue"/>
          <w:color w:val="33353C"/>
          <w:sz w:val="23"/>
          <w:szCs w:val="23"/>
        </w:rPr>
        <w:t>2020-6-15</w:t>
      </w:r>
      <w:r>
        <w:rPr>
          <w:rFonts w:ascii="Helvetica Neue" w:hAnsi="Helvetica Neue"/>
          <w:color w:val="33353C"/>
          <w:sz w:val="23"/>
          <w:szCs w:val="23"/>
        </w:rPr>
        <w:t>，股票市场和债券市场</w:t>
      </w:r>
    </w:p>
    <w:bookmarkEnd w:id="0"/>
    <w:p w14:paraId="7F981D30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海外资金全球配置：偏负面</w:t>
      </w:r>
    </w:p>
    <w:p w14:paraId="09A4BD91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货币政策：美联储将利率降至</w:t>
      </w:r>
      <w:r>
        <w:rPr>
          <w:rFonts w:ascii="Helvetica Neue" w:hAnsi="Helvetica Neue"/>
          <w:color w:val="33353C"/>
          <w:sz w:val="23"/>
          <w:szCs w:val="23"/>
        </w:rPr>
        <w:t>0</w:t>
      </w:r>
      <w:r>
        <w:rPr>
          <w:rFonts w:ascii="Helvetica Neue" w:hAnsi="Helvetica Neue"/>
          <w:color w:val="33353C"/>
          <w:sz w:val="23"/>
          <w:szCs w:val="23"/>
        </w:rPr>
        <w:t>，并声称将零利率维持到经济复苏，并开始减缓购债速度，并且拒绝负利率。美国</w:t>
      </w:r>
      <w:r>
        <w:rPr>
          <w:rFonts w:ascii="Helvetica Neue" w:hAnsi="Helvetica Neue"/>
          <w:color w:val="33353C"/>
          <w:sz w:val="23"/>
          <w:szCs w:val="23"/>
        </w:rPr>
        <w:t>BBB</w:t>
      </w:r>
      <w:r>
        <w:rPr>
          <w:rFonts w:ascii="Helvetica Neue" w:hAnsi="Helvetica Neue"/>
          <w:color w:val="33353C"/>
          <w:sz w:val="23"/>
          <w:szCs w:val="23"/>
        </w:rPr>
        <w:t>级高收益债利率目前仍在下降通道中，贴现率的下降对于美股是利好。</w:t>
      </w:r>
    </w:p>
    <w:p w14:paraId="1009125C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财政政策：美国政府也在一波接一波出台政策刺激经济，对股市是利好。</w:t>
      </w:r>
    </w:p>
    <w:p w14:paraId="47120D1E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风险偏好：美国因为就业数据造假和二次疫情的影响道指影响比纳斯达克严重。</w:t>
      </w:r>
    </w:p>
    <w:p w14:paraId="1A8E0C7F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陆股通全天流入</w:t>
      </w:r>
      <w:r>
        <w:rPr>
          <w:rFonts w:ascii="Helvetica Neue" w:hAnsi="Helvetica Neue"/>
          <w:color w:val="33353C"/>
          <w:sz w:val="23"/>
          <w:szCs w:val="23"/>
        </w:rPr>
        <w:t>-27.35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56821A62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流动性趋势：偏中性</w:t>
      </w:r>
    </w:p>
    <w:p w14:paraId="583B0EEC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15</w:t>
      </w:r>
      <w:r>
        <w:rPr>
          <w:rFonts w:ascii="Helvetica Neue" w:hAnsi="Helvetica Neue"/>
          <w:color w:val="33353C"/>
          <w:sz w:val="23"/>
          <w:szCs w:val="23"/>
        </w:rPr>
        <w:t>日，央行开展</w:t>
      </w:r>
      <w:r>
        <w:rPr>
          <w:rFonts w:ascii="Helvetica Neue" w:hAnsi="Helvetica Neue"/>
          <w:color w:val="33353C"/>
          <w:sz w:val="23"/>
          <w:szCs w:val="23"/>
        </w:rPr>
        <w:t>2000</w:t>
      </w:r>
      <w:r>
        <w:rPr>
          <w:rFonts w:ascii="Helvetica Neue" w:hAnsi="Helvetica Neue"/>
          <w:color w:val="33353C"/>
          <w:sz w:val="23"/>
          <w:szCs w:val="23"/>
        </w:rPr>
        <w:t>亿元</w:t>
      </w: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年期</w:t>
      </w:r>
      <w:r>
        <w:rPr>
          <w:rFonts w:ascii="Helvetica Neue" w:hAnsi="Helvetica Neue"/>
          <w:color w:val="33353C"/>
          <w:sz w:val="23"/>
          <w:szCs w:val="23"/>
        </w:rPr>
        <w:t>MLF</w:t>
      </w:r>
      <w:r>
        <w:rPr>
          <w:rFonts w:ascii="Helvetica Neue" w:hAnsi="Helvetica Neue"/>
          <w:color w:val="33353C"/>
          <w:sz w:val="23"/>
          <w:szCs w:val="23"/>
        </w:rPr>
        <w:t>操作，中标利率</w:t>
      </w:r>
      <w:r>
        <w:rPr>
          <w:rFonts w:ascii="Helvetica Neue" w:hAnsi="Helvetica Neue"/>
          <w:color w:val="33353C"/>
          <w:sz w:val="23"/>
          <w:szCs w:val="23"/>
        </w:rPr>
        <w:t>2.95%</w:t>
      </w:r>
      <w:r>
        <w:rPr>
          <w:rFonts w:ascii="Helvetica Neue" w:hAnsi="Helvetica Neue"/>
          <w:color w:val="33353C"/>
          <w:sz w:val="23"/>
          <w:szCs w:val="23"/>
        </w:rPr>
        <w:t>，上次</w:t>
      </w:r>
      <w:r>
        <w:rPr>
          <w:rFonts w:ascii="Helvetica Neue" w:hAnsi="Helvetica Neue"/>
          <w:color w:val="33353C"/>
          <w:sz w:val="23"/>
          <w:szCs w:val="23"/>
        </w:rPr>
        <w:t>2.95%</w:t>
      </w:r>
      <w:r>
        <w:rPr>
          <w:rFonts w:ascii="Helvetica Neue" w:hAnsi="Helvetica Neue"/>
          <w:color w:val="33353C"/>
          <w:sz w:val="23"/>
          <w:szCs w:val="23"/>
        </w:rPr>
        <w:t>；无逆回购操作。</w:t>
      </w:r>
      <w:r>
        <w:rPr>
          <w:rFonts w:ascii="Helvetica Neue" w:hAnsi="Helvetica Neue"/>
          <w:color w:val="33353C"/>
          <w:sz w:val="23"/>
          <w:szCs w:val="23"/>
        </w:rPr>
        <w:t>Wind</w:t>
      </w:r>
      <w:r>
        <w:rPr>
          <w:rFonts w:ascii="Helvetica Neue" w:hAnsi="Helvetica Neue"/>
          <w:color w:val="33353C"/>
          <w:sz w:val="23"/>
          <w:szCs w:val="23"/>
        </w:rPr>
        <w:t>数据显示，今日</w:t>
      </w:r>
      <w:r>
        <w:rPr>
          <w:rFonts w:ascii="Helvetica Neue" w:hAnsi="Helvetica Neue"/>
          <w:color w:val="33353C"/>
          <w:sz w:val="23"/>
          <w:szCs w:val="23"/>
        </w:rPr>
        <w:t>1200</w:t>
      </w:r>
      <w:r>
        <w:rPr>
          <w:rFonts w:ascii="Helvetica Neue" w:hAnsi="Helvetica Neue"/>
          <w:color w:val="33353C"/>
          <w:sz w:val="23"/>
          <w:szCs w:val="23"/>
        </w:rPr>
        <w:t>亿元逆回购到期，</w:t>
      </w: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月累计有</w:t>
      </w:r>
      <w:r>
        <w:rPr>
          <w:rFonts w:ascii="Helvetica Neue" w:hAnsi="Helvetica Neue"/>
          <w:color w:val="33353C"/>
          <w:sz w:val="23"/>
          <w:szCs w:val="23"/>
        </w:rPr>
        <w:t>7400</w:t>
      </w:r>
      <w:r>
        <w:rPr>
          <w:rFonts w:ascii="Helvetica Neue" w:hAnsi="Helvetica Neue"/>
          <w:color w:val="33353C"/>
          <w:sz w:val="23"/>
          <w:szCs w:val="23"/>
        </w:rPr>
        <w:t>亿元</w:t>
      </w:r>
      <w:r>
        <w:rPr>
          <w:rFonts w:ascii="Helvetica Neue" w:hAnsi="Helvetica Neue"/>
          <w:color w:val="33353C"/>
          <w:sz w:val="23"/>
          <w:szCs w:val="23"/>
        </w:rPr>
        <w:t>MLF</w:t>
      </w:r>
      <w:r>
        <w:rPr>
          <w:rFonts w:ascii="Helvetica Neue" w:hAnsi="Helvetica Neue"/>
          <w:color w:val="33353C"/>
          <w:sz w:val="23"/>
          <w:szCs w:val="23"/>
        </w:rPr>
        <w:t>到期。央行此前称将于</w:t>
      </w: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15</w:t>
      </w:r>
      <w:r>
        <w:rPr>
          <w:rFonts w:ascii="Helvetica Neue" w:hAnsi="Helvetica Neue"/>
          <w:color w:val="33353C"/>
          <w:sz w:val="23"/>
          <w:szCs w:val="23"/>
        </w:rPr>
        <w:t>日左右对本月到期</w:t>
      </w:r>
      <w:r>
        <w:rPr>
          <w:rFonts w:ascii="Helvetica Neue" w:hAnsi="Helvetica Neue"/>
          <w:color w:val="33353C"/>
          <w:sz w:val="23"/>
          <w:szCs w:val="23"/>
        </w:rPr>
        <w:t>MLF</w:t>
      </w:r>
      <w:r>
        <w:rPr>
          <w:rFonts w:ascii="Helvetica Neue" w:hAnsi="Helvetica Neue"/>
          <w:color w:val="33353C"/>
          <w:sz w:val="23"/>
          <w:szCs w:val="23"/>
        </w:rPr>
        <w:t>一次性续做。</w:t>
      </w:r>
    </w:p>
    <w:p w14:paraId="6CB84E18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风险偏好（散户）趋势：偏中性</w:t>
      </w:r>
    </w:p>
    <w:p w14:paraId="7598F12A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截至上周五（</w:t>
      </w: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12</w:t>
      </w:r>
      <w:r>
        <w:rPr>
          <w:rFonts w:ascii="Helvetica Neue" w:hAnsi="Helvetica Neue"/>
          <w:color w:val="33353C"/>
          <w:sz w:val="23"/>
          <w:szCs w:val="23"/>
        </w:rPr>
        <w:t>日），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股融资融券余额为</w:t>
      </w:r>
      <w:r>
        <w:rPr>
          <w:rFonts w:ascii="Helvetica Neue" w:hAnsi="Helvetica Neue"/>
          <w:color w:val="33353C"/>
          <w:sz w:val="23"/>
          <w:szCs w:val="23"/>
        </w:rPr>
        <w:t>11079.49</w:t>
      </w:r>
      <w:r>
        <w:rPr>
          <w:rFonts w:ascii="Helvetica Neue" w:hAnsi="Helvetica Neue"/>
          <w:color w:val="33353C"/>
          <w:sz w:val="23"/>
          <w:szCs w:val="23"/>
        </w:rPr>
        <w:t>亿元，较前一交易日的</w:t>
      </w:r>
      <w:r>
        <w:rPr>
          <w:rFonts w:ascii="Helvetica Neue" w:hAnsi="Helvetica Neue"/>
          <w:color w:val="33353C"/>
          <w:sz w:val="23"/>
          <w:szCs w:val="23"/>
        </w:rPr>
        <w:t>11085.42</w:t>
      </w:r>
      <w:r>
        <w:rPr>
          <w:rFonts w:ascii="Helvetica Neue" w:hAnsi="Helvetica Neue"/>
          <w:color w:val="33353C"/>
          <w:sz w:val="23"/>
          <w:szCs w:val="23"/>
        </w:rPr>
        <w:t>亿元减少</w:t>
      </w:r>
      <w:r>
        <w:rPr>
          <w:rFonts w:ascii="Helvetica Neue" w:hAnsi="Helvetica Neue"/>
          <w:color w:val="33353C"/>
          <w:sz w:val="23"/>
          <w:szCs w:val="23"/>
        </w:rPr>
        <w:t>5.93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0768E19B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信贷环境趋势：偏中性</w:t>
      </w:r>
    </w:p>
    <w:p w14:paraId="5DA3A8D6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短端流动性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合理充裕，</w:t>
      </w:r>
      <w:r>
        <w:rPr>
          <w:rFonts w:ascii="Helvetica Neue" w:hAnsi="Helvetica Neue"/>
          <w:color w:val="33353C"/>
          <w:sz w:val="23"/>
          <w:szCs w:val="23"/>
        </w:rPr>
        <w:t>3M-shibor</w:t>
      </w:r>
      <w:r>
        <w:rPr>
          <w:rFonts w:ascii="Helvetica Neue" w:hAnsi="Helvetica Neue"/>
          <w:color w:val="33353C"/>
          <w:sz w:val="23"/>
          <w:szCs w:val="23"/>
        </w:rPr>
        <w:t>开始出现回升趋势。</w:t>
      </w:r>
      <w:r>
        <w:rPr>
          <w:rFonts w:ascii="Helvetica Neue" w:hAnsi="Helvetica Neue"/>
          <w:color w:val="33353C"/>
          <w:sz w:val="23"/>
          <w:szCs w:val="23"/>
        </w:rPr>
        <w:t>GC001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GC007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DR001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DR007</w:t>
      </w:r>
      <w:r>
        <w:rPr>
          <w:rFonts w:ascii="Helvetica Neue" w:hAnsi="Helvetica Neue"/>
          <w:color w:val="33353C"/>
          <w:sz w:val="23"/>
          <w:szCs w:val="23"/>
        </w:rPr>
        <w:t>开始出现回稳。</w:t>
      </w:r>
    </w:p>
    <w:p w14:paraId="6A90F60D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降准预期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预期缓和，</w:t>
      </w: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-3</w:t>
      </w:r>
      <w:r>
        <w:rPr>
          <w:rFonts w:ascii="Helvetica Neue" w:hAnsi="Helvetica Neue"/>
          <w:color w:val="33353C"/>
          <w:sz w:val="23"/>
          <w:szCs w:val="23"/>
        </w:rPr>
        <w:t>个月国开债利差下降。</w:t>
      </w:r>
    </w:p>
    <w:p w14:paraId="563C4888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通胀</w:t>
      </w:r>
      <w:r>
        <w:rPr>
          <w:rFonts w:ascii="Helvetica Neue" w:hAnsi="Helvetica Neue"/>
          <w:color w:val="33353C"/>
          <w:sz w:val="23"/>
          <w:szCs w:val="23"/>
        </w:rPr>
        <w:t>——10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-3</w:t>
      </w:r>
      <w:r>
        <w:rPr>
          <w:rFonts w:ascii="Helvetica Neue" w:hAnsi="Helvetica Neue"/>
          <w:color w:val="33353C"/>
          <w:sz w:val="23"/>
          <w:szCs w:val="23"/>
        </w:rPr>
        <w:t>个月国开债利差正在缩小，通胀往下。</w:t>
      </w:r>
    </w:p>
    <w:p w14:paraId="61B77441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流动性</w:t>
      </w:r>
      <w:r>
        <w:rPr>
          <w:rFonts w:ascii="Helvetica Neue" w:hAnsi="Helvetica Neue"/>
          <w:color w:val="33353C"/>
          <w:sz w:val="23"/>
          <w:szCs w:val="23"/>
        </w:rPr>
        <w:t>——3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AA-</w:t>
      </w:r>
      <w:r>
        <w:rPr>
          <w:rFonts w:ascii="Helvetica Neue" w:hAnsi="Helvetica Neue"/>
          <w:color w:val="33353C"/>
          <w:sz w:val="23"/>
          <w:szCs w:val="23"/>
        </w:rPr>
        <w:t>信用债到期收益率目前有下行的趋势。</w:t>
      </w:r>
    </w:p>
    <w:p w14:paraId="55F3BC33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今本面趋势：偏正面</w:t>
      </w:r>
    </w:p>
    <w:p w14:paraId="0287E186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：一季度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增速同比</w:t>
      </w:r>
      <w:r>
        <w:rPr>
          <w:rFonts w:ascii="Helvetica Neue" w:hAnsi="Helvetica Neue"/>
          <w:color w:val="33353C"/>
          <w:sz w:val="23"/>
          <w:szCs w:val="23"/>
        </w:rPr>
        <w:t>-6.8%</w:t>
      </w:r>
      <w:r>
        <w:rPr>
          <w:rFonts w:ascii="Helvetica Neue" w:hAnsi="Helvetica Neue"/>
          <w:color w:val="33353C"/>
          <w:sz w:val="23"/>
          <w:szCs w:val="23"/>
        </w:rPr>
        <w:t>，前值</w:t>
      </w:r>
      <w:r>
        <w:rPr>
          <w:rFonts w:ascii="Helvetica Neue" w:hAnsi="Helvetica Neue"/>
          <w:color w:val="33353C"/>
          <w:sz w:val="23"/>
          <w:szCs w:val="23"/>
        </w:rPr>
        <w:t>6%</w:t>
      </w:r>
      <w:r>
        <w:rPr>
          <w:rFonts w:ascii="Helvetica Neue" w:hAnsi="Helvetica Neue"/>
          <w:color w:val="33353C"/>
          <w:sz w:val="23"/>
          <w:szCs w:val="23"/>
        </w:rPr>
        <w:t>；（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主要由生产、投资和消费构成）</w:t>
      </w:r>
    </w:p>
    <w:p w14:paraId="31E381DC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经济预期</w:t>
      </w:r>
      <w:r>
        <w:rPr>
          <w:rFonts w:ascii="Helvetica Neue" w:hAnsi="Helvetica Neue"/>
          <w:color w:val="33353C"/>
          <w:sz w:val="23"/>
          <w:szCs w:val="23"/>
        </w:rPr>
        <w:t>——10</w:t>
      </w:r>
      <w:r>
        <w:rPr>
          <w:rFonts w:ascii="Helvetica Neue" w:hAnsi="Helvetica Neue"/>
          <w:color w:val="33353C"/>
          <w:sz w:val="23"/>
          <w:szCs w:val="23"/>
        </w:rPr>
        <w:t>年国债、</w:t>
      </w:r>
      <w:r>
        <w:rPr>
          <w:rFonts w:ascii="Helvetica Neue" w:hAnsi="Helvetica Neue"/>
          <w:color w:val="33353C"/>
          <w:sz w:val="23"/>
          <w:szCs w:val="23"/>
        </w:rPr>
        <w:t>10</w:t>
      </w:r>
      <w:r>
        <w:rPr>
          <w:rFonts w:ascii="Helvetica Neue" w:hAnsi="Helvetica Neue"/>
          <w:color w:val="33353C"/>
          <w:sz w:val="23"/>
          <w:szCs w:val="23"/>
        </w:rPr>
        <w:t>年国开债收益率反弹，经济预期转为乐观。</w:t>
      </w:r>
    </w:p>
    <w:p w14:paraId="7FF9A6E4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社融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增速向上。</w:t>
      </w:r>
    </w:p>
    <w:p w14:paraId="27848518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PMI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BCI</w:t>
      </w:r>
      <w:r>
        <w:rPr>
          <w:rFonts w:ascii="Helvetica Neue" w:hAnsi="Helvetica Neue"/>
          <w:color w:val="33353C"/>
          <w:sz w:val="23"/>
          <w:szCs w:val="23"/>
        </w:rPr>
        <w:t>指数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弱反弹。</w:t>
      </w:r>
    </w:p>
    <w:p w14:paraId="21F2C4C2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投资、消费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弱反弹。</w:t>
      </w:r>
    </w:p>
    <w:p w14:paraId="7973148C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政策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稳字当头，意味着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达到某一个数值，但是经济不能出结构性问题。稳住宏观杠杆率。货币政策零活适度。房住不炒定位。</w:t>
      </w:r>
    </w:p>
    <w:p w14:paraId="4EE84967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赚钱效应：偏负面</w:t>
      </w:r>
    </w:p>
    <w:p w14:paraId="4054C8B6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截止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股收盘，上涨的股票有</w:t>
      </w:r>
      <w:r>
        <w:rPr>
          <w:rFonts w:ascii="Helvetica Neue" w:hAnsi="Helvetica Neue"/>
          <w:color w:val="33353C"/>
          <w:sz w:val="23"/>
          <w:szCs w:val="23"/>
        </w:rPr>
        <w:t>1396</w:t>
      </w:r>
      <w:r>
        <w:rPr>
          <w:rFonts w:ascii="Helvetica Neue" w:hAnsi="Helvetica Neue"/>
          <w:color w:val="33353C"/>
          <w:sz w:val="23"/>
          <w:szCs w:val="23"/>
        </w:rPr>
        <w:t>只，下跌的</w:t>
      </w:r>
      <w:r>
        <w:rPr>
          <w:rFonts w:ascii="Helvetica Neue" w:hAnsi="Helvetica Neue"/>
          <w:color w:val="33353C"/>
          <w:sz w:val="23"/>
          <w:szCs w:val="23"/>
        </w:rPr>
        <w:t>2299</w:t>
      </w:r>
      <w:r>
        <w:rPr>
          <w:rFonts w:ascii="Helvetica Neue" w:hAnsi="Helvetica Neue"/>
          <w:color w:val="33353C"/>
          <w:sz w:val="23"/>
          <w:szCs w:val="23"/>
        </w:rPr>
        <w:t>只。</w:t>
      </w:r>
    </w:p>
    <w:p w14:paraId="0FA4D539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从盘面来看，成交量比上个交易日上升，成交额上升，成交价下降，可以看出市场的卖盘增加。</w:t>
      </w:r>
    </w:p>
    <w:p w14:paraId="41949CC9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市场风格：</w:t>
      </w:r>
    </w:p>
    <w:p w14:paraId="7D4FA3E2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今天的股票市场走得比较复杂，核心还是因为干扰项太多了。</w:t>
      </w:r>
    </w:p>
    <w:p w14:paraId="734EFF46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早盘创业板指高开，然后持续走高，最高涨</w:t>
      </w:r>
      <w:r>
        <w:rPr>
          <w:rFonts w:ascii="Helvetica Neue" w:hAnsi="Helvetica Neue"/>
          <w:color w:val="33353C"/>
          <w:sz w:val="23"/>
          <w:szCs w:val="23"/>
        </w:rPr>
        <w:t>2.26%</w:t>
      </w:r>
      <w:r>
        <w:rPr>
          <w:rFonts w:ascii="Helvetica Neue" w:hAnsi="Helvetica Neue"/>
          <w:color w:val="33353C"/>
          <w:sz w:val="23"/>
          <w:szCs w:val="23"/>
        </w:rPr>
        <w:t>，午盘之后，受外围风险资产下跌影响，跳水，收盘仅仅涨</w:t>
      </w:r>
      <w:r>
        <w:rPr>
          <w:rFonts w:ascii="Helvetica Neue" w:hAnsi="Helvetica Neue"/>
          <w:color w:val="33353C"/>
          <w:sz w:val="23"/>
          <w:szCs w:val="23"/>
        </w:rPr>
        <w:t>0.58%</w:t>
      </w:r>
      <w:r>
        <w:rPr>
          <w:rFonts w:ascii="Helvetica Neue" w:hAnsi="Helvetica Neue"/>
          <w:color w:val="33353C"/>
          <w:sz w:val="23"/>
          <w:szCs w:val="23"/>
        </w:rPr>
        <w:t>。上证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的走势类似，只不过分别以跌</w:t>
      </w:r>
      <w:r>
        <w:rPr>
          <w:rFonts w:ascii="Helvetica Neue" w:hAnsi="Helvetica Neue"/>
          <w:color w:val="33353C"/>
          <w:sz w:val="23"/>
          <w:szCs w:val="23"/>
        </w:rPr>
        <w:t>1.58%</w:t>
      </w:r>
      <w:r>
        <w:rPr>
          <w:rFonts w:ascii="Helvetica Neue" w:hAnsi="Helvetica Neue"/>
          <w:color w:val="33353C"/>
          <w:sz w:val="23"/>
          <w:szCs w:val="23"/>
        </w:rPr>
        <w:t>和</w:t>
      </w:r>
      <w:r>
        <w:rPr>
          <w:rFonts w:ascii="Helvetica Neue" w:hAnsi="Helvetica Neue"/>
          <w:color w:val="33353C"/>
          <w:sz w:val="23"/>
          <w:szCs w:val="23"/>
        </w:rPr>
        <w:t>1.20%</w:t>
      </w:r>
      <w:r>
        <w:rPr>
          <w:rFonts w:ascii="Helvetica Neue" w:hAnsi="Helvetica Neue"/>
          <w:color w:val="33353C"/>
          <w:sz w:val="23"/>
          <w:szCs w:val="23"/>
        </w:rPr>
        <w:t>收尾。</w:t>
      </w:r>
    </w:p>
    <w:p w14:paraId="38A4091B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十年国开债</w:t>
      </w:r>
      <w:r>
        <w:rPr>
          <w:rFonts w:ascii="Helvetica Neue" w:hAnsi="Helvetica Neue"/>
          <w:color w:val="33353C"/>
          <w:sz w:val="23"/>
          <w:szCs w:val="23"/>
        </w:rPr>
        <w:t>190215</w:t>
      </w:r>
      <w:r>
        <w:rPr>
          <w:rFonts w:ascii="Helvetica Neue" w:hAnsi="Helvetica Neue"/>
          <w:color w:val="33353C"/>
          <w:sz w:val="23"/>
          <w:szCs w:val="23"/>
        </w:rPr>
        <w:t>上行</w:t>
      </w:r>
      <w:r>
        <w:rPr>
          <w:rFonts w:ascii="Helvetica Neue" w:hAnsi="Helvetica Neue"/>
          <w:color w:val="33353C"/>
          <w:sz w:val="23"/>
          <w:szCs w:val="23"/>
        </w:rPr>
        <w:t>2.25BP</w:t>
      </w:r>
      <w:r>
        <w:rPr>
          <w:rFonts w:ascii="Helvetica Neue" w:hAnsi="Helvetica Neue"/>
          <w:color w:val="33353C"/>
          <w:sz w:val="23"/>
          <w:szCs w:val="23"/>
        </w:rPr>
        <w:t>，收盘至</w:t>
      </w:r>
      <w:r>
        <w:rPr>
          <w:rFonts w:ascii="Helvetica Neue" w:hAnsi="Helvetica Neue"/>
          <w:color w:val="33353C"/>
          <w:sz w:val="23"/>
          <w:szCs w:val="23"/>
        </w:rPr>
        <w:t>3.1125%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07FE2136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北上资金继续净流入，北上资金在一定程度上代表长期资金的入驻，对于股市来说是利好。</w:t>
      </w:r>
    </w:p>
    <w:p w14:paraId="3B4CC446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股息率相对于债券收益率。</w:t>
      </w:r>
    </w:p>
    <w:p w14:paraId="0B1278FD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lastRenderedPageBreak/>
        <w:t>这与目前的宏观格局有关，</w:t>
      </w:r>
    </w:p>
    <w:p w14:paraId="5EB8474B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、早上</w:t>
      </w:r>
      <w:r>
        <w:rPr>
          <w:rFonts w:ascii="Helvetica Neue" w:hAnsi="Helvetica Neue"/>
          <w:color w:val="33353C"/>
          <w:sz w:val="23"/>
          <w:szCs w:val="23"/>
        </w:rPr>
        <w:t>9</w:t>
      </w:r>
      <w:r>
        <w:rPr>
          <w:rFonts w:ascii="Helvetica Neue" w:hAnsi="Helvetica Neue"/>
          <w:color w:val="33353C"/>
          <w:sz w:val="23"/>
          <w:szCs w:val="23"/>
        </w:rPr>
        <w:t>点</w:t>
      </w:r>
      <w:r>
        <w:rPr>
          <w:rFonts w:ascii="Helvetica Neue" w:hAnsi="Helvetica Neue"/>
          <w:color w:val="33353C"/>
          <w:sz w:val="23"/>
          <w:szCs w:val="23"/>
        </w:rPr>
        <w:t>20</w:t>
      </w:r>
      <w:r>
        <w:rPr>
          <w:rFonts w:ascii="Helvetica Neue" w:hAnsi="Helvetica Neue"/>
          <w:color w:val="33353C"/>
          <w:sz w:val="23"/>
          <w:szCs w:val="23"/>
        </w:rPr>
        <w:t>，央行开展</w:t>
      </w:r>
      <w:r>
        <w:rPr>
          <w:rFonts w:ascii="Helvetica Neue" w:hAnsi="Helvetica Neue"/>
          <w:color w:val="33353C"/>
          <w:sz w:val="23"/>
          <w:szCs w:val="23"/>
        </w:rPr>
        <w:t>2000</w:t>
      </w:r>
      <w:r>
        <w:rPr>
          <w:rFonts w:ascii="Helvetica Neue" w:hAnsi="Helvetica Neue"/>
          <w:color w:val="33353C"/>
          <w:sz w:val="23"/>
          <w:szCs w:val="23"/>
        </w:rPr>
        <w:t>亿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mlf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续作，中标利率</w:t>
      </w:r>
      <w:r>
        <w:rPr>
          <w:rFonts w:ascii="Helvetica Neue" w:hAnsi="Helvetica Neue"/>
          <w:color w:val="33353C"/>
          <w:sz w:val="23"/>
          <w:szCs w:val="23"/>
        </w:rPr>
        <w:t>2.95%</w:t>
      </w:r>
      <w:r>
        <w:rPr>
          <w:rFonts w:ascii="Helvetica Neue" w:hAnsi="Helvetica Neue"/>
          <w:color w:val="33353C"/>
          <w:sz w:val="23"/>
          <w:szCs w:val="23"/>
        </w:rPr>
        <w:t>，与上次持平。因此，大概率下周的</w:t>
      </w:r>
      <w:r>
        <w:rPr>
          <w:rFonts w:ascii="Helvetica Neue" w:hAnsi="Helvetica Neue"/>
          <w:color w:val="33353C"/>
          <w:sz w:val="23"/>
          <w:szCs w:val="23"/>
        </w:rPr>
        <w:t>LPR</w:t>
      </w:r>
      <w:r>
        <w:rPr>
          <w:rFonts w:ascii="Helvetica Neue" w:hAnsi="Helvetica Neue"/>
          <w:color w:val="33353C"/>
          <w:sz w:val="23"/>
          <w:szCs w:val="23"/>
        </w:rPr>
        <w:t>利率也不会调整。证伪了市场上周五降息的预期。这对股市是一个利空。</w:t>
      </w:r>
    </w:p>
    <w:p w14:paraId="5E93E9BA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2</w:t>
      </w:r>
      <w:r>
        <w:rPr>
          <w:rFonts w:ascii="Helvetica Neue" w:hAnsi="Helvetica Neue"/>
          <w:color w:val="33353C"/>
          <w:sz w:val="23"/>
          <w:szCs w:val="23"/>
        </w:rPr>
        <w:t>、早上十点，统计局公布投资和消费数据，基本符合预期，没有特别超预期的点。整体偏中性。</w:t>
      </w:r>
    </w:p>
    <w:p w14:paraId="6B7A6A78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3</w:t>
      </w:r>
      <w:r>
        <w:rPr>
          <w:rFonts w:ascii="Helvetica Neue" w:hAnsi="Helvetica Neue"/>
          <w:color w:val="33353C"/>
          <w:sz w:val="23"/>
          <w:szCs w:val="23"/>
        </w:rPr>
        <w:t>、二次疫情对情绪的扰动，全球持续增加的病例，让大家对复苏的节奏有犹豫。</w:t>
      </w:r>
    </w:p>
    <w:p w14:paraId="52537EFE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此外，二次疫情既影响了债券市场，大概</w:t>
      </w:r>
      <w:r>
        <w:rPr>
          <w:rFonts w:ascii="Helvetica Neue" w:hAnsi="Helvetica Neue"/>
          <w:color w:val="33353C"/>
          <w:sz w:val="23"/>
          <w:szCs w:val="23"/>
        </w:rPr>
        <w:t>10bp</w:t>
      </w:r>
      <w:r>
        <w:rPr>
          <w:rFonts w:ascii="Helvetica Neue" w:hAnsi="Helvetica Neue"/>
          <w:color w:val="33353C"/>
          <w:sz w:val="23"/>
          <w:szCs w:val="23"/>
        </w:rPr>
        <w:t>的量级，也影响了股票市场。影响的路径绝对不是什么风险偏好，而是，对经济复苏的预期。如果影响了风险偏好，创业板不应该那么强劲。真实的路径应该是</w:t>
      </w:r>
      <w:r>
        <w:rPr>
          <w:rFonts w:ascii="Helvetica Neue" w:hAnsi="Helvetica Neue"/>
          <w:color w:val="33353C"/>
          <w:sz w:val="23"/>
          <w:szCs w:val="23"/>
        </w:rPr>
        <w:t xml:space="preserve"> </w:t>
      </w:r>
      <w:r>
        <w:rPr>
          <w:rFonts w:ascii="Helvetica Neue" w:hAnsi="Helvetica Neue"/>
          <w:color w:val="33353C"/>
          <w:sz w:val="23"/>
          <w:szCs w:val="23"/>
        </w:rPr>
        <w:t>：二次疫情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复苏预期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（价值股</w:t>
      </w:r>
      <w:r>
        <w:rPr>
          <w:rFonts w:ascii="Helvetica Neue" w:hAnsi="Helvetica Neue"/>
          <w:color w:val="33353C"/>
          <w:sz w:val="23"/>
          <w:szCs w:val="23"/>
        </w:rPr>
        <w:t>&amp;</w:t>
      </w:r>
      <w:r>
        <w:rPr>
          <w:rFonts w:ascii="Helvetica Neue" w:hAnsi="Helvetica Neue"/>
          <w:color w:val="33353C"/>
          <w:sz w:val="23"/>
          <w:szCs w:val="23"/>
        </w:rPr>
        <w:t>债券）</w:t>
      </w:r>
    </w:p>
    <w:p w14:paraId="683BCAC9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综上所述，这几天复苏预期被扰乱了，所以，债市反弹了一下，而价值股被锤得比较惨。但是，创业板被影响的程度很小。这个板块主要看两点：一是资金的价格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贴现率；二是资金的数量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社融增速。</w:t>
      </w:r>
    </w:p>
    <w:p w14:paraId="58DF6C2A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目前，来看这两方面对成长股都是很友好的。</w:t>
      </w:r>
    </w:p>
    <w:p w14:paraId="0E457DB9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proofErr w:type="spellStart"/>
      <w:r>
        <w:rPr>
          <w:rFonts w:ascii="Helvetica Neue" w:hAnsi="Helvetica Neue"/>
          <w:color w:val="33353C"/>
          <w:sz w:val="23"/>
          <w:szCs w:val="23"/>
        </w:rPr>
        <w:t>ps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：今天科技股被锤得比较惨，主要原因是大基金减持，降低了市场投资科技股的热情。</w:t>
      </w:r>
    </w:p>
    <w:p w14:paraId="1AF4DC5B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proofErr w:type="spellStart"/>
      <w:r>
        <w:rPr>
          <w:rFonts w:ascii="Helvetica Neue" w:hAnsi="Helvetica Neue"/>
          <w:color w:val="33353C"/>
          <w:sz w:val="23"/>
          <w:szCs w:val="23"/>
        </w:rPr>
        <w:t>ps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：今天创业板如此大的涨幅有些不合情理，如果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mlf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降息了倒说得过去，这种没来由的，依靠卖价值买成长路数的上涨有些不稳。因此，下午外盘跳水之后，创业板涨幅大幅度收窄。</w:t>
      </w:r>
    </w:p>
    <w:p w14:paraId="3EB640BD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公募基金一季度的持仓相较年初的持仓从</w:t>
      </w:r>
      <w:r>
        <w:rPr>
          <w:rFonts w:ascii="Helvetica Neue" w:hAnsi="Helvetica Neue"/>
          <w:color w:val="33353C"/>
          <w:sz w:val="23"/>
          <w:szCs w:val="23"/>
        </w:rPr>
        <w:t>89%-&gt;86%</w:t>
      </w:r>
      <w:r>
        <w:rPr>
          <w:rFonts w:ascii="Helvetica Neue" w:hAnsi="Helvetica Neue"/>
          <w:color w:val="33353C"/>
          <w:sz w:val="23"/>
          <w:szCs w:val="23"/>
        </w:rPr>
        <w:t>，赌场的资金又减少了，不是个好消息。</w:t>
      </w:r>
    </w:p>
    <w:p w14:paraId="70DE568B" w14:textId="77777777" w:rsidR="003B2B66" w:rsidRDefault="003B2B66" w:rsidP="003B2B6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p w14:paraId="1CAB0211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B66"/>
    <w:rsid w:val="00305835"/>
    <w:rsid w:val="003B2B66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584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2B6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1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1479</Characters>
  <Application>Microsoft Macintosh Word</Application>
  <DocSecurity>0</DocSecurity>
  <Lines>12</Lines>
  <Paragraphs>3</Paragraphs>
  <ScaleCrop>false</ScaleCrop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2020-06-29T16:18:00Z</dcterms:created>
  <dcterms:modified xsi:type="dcterms:W3CDTF">2020-06-29T16:18:00Z</dcterms:modified>
</cp:coreProperties>
</file>