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CB1D1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2020-6-29</w:t>
      </w:r>
      <w:r>
        <w:rPr>
          <w:rFonts w:ascii="Helvetica Neue" w:hAnsi="Helvetica Neue"/>
          <w:color w:val="33353C"/>
          <w:sz w:val="23"/>
          <w:szCs w:val="23"/>
        </w:rPr>
        <w:t>，股票市场和债券市场</w:t>
      </w:r>
    </w:p>
    <w:p w14:paraId="614E96E2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海外资金全球配置：偏负面</w:t>
      </w:r>
    </w:p>
    <w:p w14:paraId="1EFF54E3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货币政策：美联储将利率降至</w:t>
      </w:r>
      <w:r>
        <w:rPr>
          <w:rFonts w:ascii="Helvetica Neue" w:hAnsi="Helvetica Neue"/>
          <w:color w:val="33353C"/>
          <w:sz w:val="23"/>
          <w:szCs w:val="23"/>
        </w:rPr>
        <w:t>0</w:t>
      </w:r>
      <w:r>
        <w:rPr>
          <w:rFonts w:ascii="Helvetica Neue" w:hAnsi="Helvetica Neue"/>
          <w:color w:val="33353C"/>
          <w:sz w:val="23"/>
          <w:szCs w:val="23"/>
        </w:rPr>
        <w:t>，并声称将零利率维持到经济复苏，并开始减缓购债速度，并且拒绝负利率。美国</w:t>
      </w:r>
      <w:r>
        <w:rPr>
          <w:rFonts w:ascii="Helvetica Neue" w:hAnsi="Helvetica Neue"/>
          <w:color w:val="33353C"/>
          <w:sz w:val="23"/>
          <w:szCs w:val="23"/>
        </w:rPr>
        <w:t>BBB</w:t>
      </w:r>
      <w:r>
        <w:rPr>
          <w:rFonts w:ascii="Helvetica Neue" w:hAnsi="Helvetica Neue"/>
          <w:color w:val="33353C"/>
          <w:sz w:val="23"/>
          <w:szCs w:val="23"/>
        </w:rPr>
        <w:t>级高收益债利率目前仍在下降通道中，贴现率的下降对于美股是利好。</w:t>
      </w:r>
    </w:p>
    <w:p w14:paraId="44685AD0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财政政策：美国政府也在一波接一波出台政策刺激经济，对股市是利好。</w:t>
      </w:r>
    </w:p>
    <w:p w14:paraId="7270A8F0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风险偏好：美国疫情再起外加种族问题，股市大跌。</w:t>
      </w:r>
    </w:p>
    <w:p w14:paraId="670DF50C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陆股通全天流入</w:t>
      </w:r>
      <w:r>
        <w:rPr>
          <w:rFonts w:ascii="Helvetica Neue" w:hAnsi="Helvetica Neue"/>
          <w:color w:val="33353C"/>
          <w:sz w:val="23"/>
          <w:szCs w:val="23"/>
        </w:rPr>
        <w:t>2.76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1D7EC2ED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流动性趋势：偏中性</w:t>
      </w:r>
    </w:p>
    <w:p w14:paraId="2308B15A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央行</w:t>
      </w:r>
      <w:r>
        <w:rPr>
          <w:rFonts w:ascii="Helvetica Neue" w:hAnsi="Helvetica Neue"/>
          <w:color w:val="33353C"/>
          <w:sz w:val="23"/>
          <w:szCs w:val="23"/>
        </w:rPr>
        <w:t>29</w:t>
      </w:r>
      <w:r>
        <w:rPr>
          <w:rFonts w:ascii="Helvetica Neue" w:hAnsi="Helvetica Neue"/>
          <w:color w:val="33353C"/>
          <w:sz w:val="23"/>
          <w:szCs w:val="23"/>
        </w:rPr>
        <w:t>日早间公告称，临近月末财政支出力度加大，银行体系流动性总量处于合理充裕水平，</w:t>
      </w:r>
      <w:r>
        <w:rPr>
          <w:rFonts w:ascii="Helvetica Neue" w:hAnsi="Helvetica Neue"/>
          <w:color w:val="33353C"/>
          <w:sz w:val="23"/>
          <w:szCs w:val="23"/>
        </w:rPr>
        <w:t>6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29</w:t>
      </w:r>
      <w:r>
        <w:rPr>
          <w:rFonts w:ascii="Helvetica Neue" w:hAnsi="Helvetica Neue"/>
          <w:color w:val="33353C"/>
          <w:sz w:val="23"/>
          <w:szCs w:val="23"/>
        </w:rPr>
        <w:t>日不开展逆回购操作。今日有</w:t>
      </w:r>
      <w:r>
        <w:rPr>
          <w:rFonts w:ascii="Helvetica Neue" w:hAnsi="Helvetica Neue"/>
          <w:color w:val="33353C"/>
          <w:sz w:val="23"/>
          <w:szCs w:val="23"/>
        </w:rPr>
        <w:t>400</w:t>
      </w:r>
      <w:r>
        <w:rPr>
          <w:rFonts w:ascii="Helvetica Neue" w:hAnsi="Helvetica Neue"/>
          <w:color w:val="33353C"/>
          <w:sz w:val="23"/>
          <w:szCs w:val="23"/>
        </w:rPr>
        <w:t>亿元</w:t>
      </w:r>
      <w:r>
        <w:rPr>
          <w:rFonts w:ascii="Helvetica Neue" w:hAnsi="Helvetica Neue"/>
          <w:color w:val="33353C"/>
          <w:sz w:val="23"/>
          <w:szCs w:val="23"/>
        </w:rPr>
        <w:t>7</w:t>
      </w:r>
      <w:r>
        <w:rPr>
          <w:rFonts w:ascii="Helvetica Neue" w:hAnsi="Helvetica Neue"/>
          <w:color w:val="33353C"/>
          <w:sz w:val="23"/>
          <w:szCs w:val="23"/>
        </w:rPr>
        <w:t>天期逆回购到期，实现净回笼</w:t>
      </w:r>
      <w:r>
        <w:rPr>
          <w:rFonts w:ascii="Helvetica Neue" w:hAnsi="Helvetica Neue"/>
          <w:color w:val="33353C"/>
          <w:sz w:val="23"/>
          <w:szCs w:val="23"/>
        </w:rPr>
        <w:t>400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1F888677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风险偏好（散户）趋势：偏中性</w:t>
      </w:r>
    </w:p>
    <w:p w14:paraId="539B429E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截至上周三（</w:t>
      </w:r>
      <w:r>
        <w:rPr>
          <w:rFonts w:ascii="Helvetica Neue" w:hAnsi="Helvetica Neue"/>
          <w:color w:val="33353C"/>
          <w:sz w:val="23"/>
          <w:szCs w:val="23"/>
        </w:rPr>
        <w:t>6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24</w:t>
      </w:r>
      <w:r>
        <w:rPr>
          <w:rFonts w:ascii="Helvetica Neue" w:hAnsi="Helvetica Neue"/>
          <w:color w:val="33353C"/>
          <w:sz w:val="23"/>
          <w:szCs w:val="23"/>
        </w:rPr>
        <w:t>日），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股融资融券余额为</w:t>
      </w:r>
      <w:r>
        <w:rPr>
          <w:rFonts w:ascii="Helvetica Neue" w:hAnsi="Helvetica Neue"/>
          <w:color w:val="33353C"/>
          <w:sz w:val="23"/>
          <w:szCs w:val="23"/>
        </w:rPr>
        <w:t>11416.25</w:t>
      </w:r>
      <w:r>
        <w:rPr>
          <w:rFonts w:ascii="Helvetica Neue" w:hAnsi="Helvetica Neue"/>
          <w:color w:val="33353C"/>
          <w:sz w:val="23"/>
          <w:szCs w:val="23"/>
        </w:rPr>
        <w:t>亿元，较前一交易日的</w:t>
      </w:r>
      <w:r>
        <w:rPr>
          <w:rFonts w:ascii="Helvetica Neue" w:hAnsi="Helvetica Neue"/>
          <w:color w:val="33353C"/>
          <w:sz w:val="23"/>
          <w:szCs w:val="23"/>
        </w:rPr>
        <w:t>11468.91</w:t>
      </w:r>
      <w:r>
        <w:rPr>
          <w:rFonts w:ascii="Helvetica Neue" w:hAnsi="Helvetica Neue"/>
          <w:color w:val="33353C"/>
          <w:sz w:val="23"/>
          <w:szCs w:val="23"/>
        </w:rPr>
        <w:t>亿元减少</w:t>
      </w:r>
      <w:r>
        <w:rPr>
          <w:rFonts w:ascii="Helvetica Neue" w:hAnsi="Helvetica Neue"/>
          <w:color w:val="33353C"/>
          <w:sz w:val="23"/>
          <w:szCs w:val="23"/>
        </w:rPr>
        <w:t>52.66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06579ADE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信贷环境趋势：偏中性</w:t>
      </w:r>
    </w:p>
    <w:p w14:paraId="69DCE69A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短端流动性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合理充裕，</w:t>
      </w:r>
      <w:r>
        <w:rPr>
          <w:rFonts w:ascii="Helvetica Neue" w:hAnsi="Helvetica Neue"/>
          <w:color w:val="33353C"/>
          <w:sz w:val="23"/>
          <w:szCs w:val="23"/>
        </w:rPr>
        <w:t>OM-</w:t>
      </w:r>
      <w:proofErr w:type="spellStart"/>
      <w:r>
        <w:rPr>
          <w:rFonts w:ascii="Helvetica Neue" w:hAnsi="Helvetica Neue"/>
          <w:color w:val="33353C"/>
          <w:sz w:val="23"/>
          <w:szCs w:val="23"/>
        </w:rPr>
        <w:t>shibor</w:t>
      </w:r>
      <w:proofErr w:type="spellEnd"/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3M-shibor</w:t>
      </w:r>
      <w:r>
        <w:rPr>
          <w:rFonts w:ascii="Helvetica Neue" w:hAnsi="Helvetica Neue"/>
          <w:color w:val="33353C"/>
          <w:sz w:val="23"/>
          <w:szCs w:val="23"/>
        </w:rPr>
        <w:t>开始出现回调的趋势。</w:t>
      </w:r>
      <w:r>
        <w:rPr>
          <w:rFonts w:ascii="Helvetica Neue" w:hAnsi="Helvetica Neue"/>
          <w:color w:val="33353C"/>
          <w:sz w:val="23"/>
          <w:szCs w:val="23"/>
        </w:rPr>
        <w:t>GC001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GC007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DR001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DR007</w:t>
      </w:r>
      <w:r>
        <w:rPr>
          <w:rFonts w:ascii="Helvetica Neue" w:hAnsi="Helvetica Neue"/>
          <w:color w:val="33353C"/>
          <w:sz w:val="23"/>
          <w:szCs w:val="23"/>
        </w:rPr>
        <w:t>开始出现回调。</w:t>
      </w:r>
    </w:p>
    <w:p w14:paraId="5A878560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降准预期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预期强烈，</w:t>
      </w: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-3</w:t>
      </w:r>
      <w:r>
        <w:rPr>
          <w:rFonts w:ascii="Helvetica Neue" w:hAnsi="Helvetica Neue"/>
          <w:color w:val="33353C"/>
          <w:sz w:val="23"/>
          <w:szCs w:val="23"/>
        </w:rPr>
        <w:t>个月国开债利差上升。</w:t>
      </w:r>
    </w:p>
    <w:p w14:paraId="1C148F24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通胀</w:t>
      </w:r>
      <w:r>
        <w:rPr>
          <w:rFonts w:ascii="Helvetica Neue" w:hAnsi="Helvetica Neue"/>
          <w:color w:val="33353C"/>
          <w:sz w:val="23"/>
          <w:szCs w:val="23"/>
        </w:rPr>
        <w:t>——10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-3</w:t>
      </w:r>
      <w:r>
        <w:rPr>
          <w:rFonts w:ascii="Helvetica Neue" w:hAnsi="Helvetica Neue"/>
          <w:color w:val="33353C"/>
          <w:sz w:val="23"/>
          <w:szCs w:val="23"/>
        </w:rPr>
        <w:t>个月国开债利差正在缩小，通胀往下。</w:t>
      </w:r>
    </w:p>
    <w:p w14:paraId="5BC414B2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流动性</w:t>
      </w:r>
      <w:r>
        <w:rPr>
          <w:rFonts w:ascii="Helvetica Neue" w:hAnsi="Helvetica Neue"/>
          <w:color w:val="33353C"/>
          <w:sz w:val="23"/>
          <w:szCs w:val="23"/>
        </w:rPr>
        <w:t>——3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AA-</w:t>
      </w:r>
      <w:r>
        <w:rPr>
          <w:rFonts w:ascii="Helvetica Neue" w:hAnsi="Helvetica Neue"/>
          <w:color w:val="33353C"/>
          <w:sz w:val="23"/>
          <w:szCs w:val="23"/>
        </w:rPr>
        <w:t>信用债到期收益率目前处于平稳的趋势。</w:t>
      </w:r>
    </w:p>
    <w:p w14:paraId="0C5AC87C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今本面趋势：偏正面</w:t>
      </w:r>
    </w:p>
    <w:p w14:paraId="11C9EC08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：一季度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增速同比</w:t>
      </w:r>
      <w:r>
        <w:rPr>
          <w:rFonts w:ascii="Helvetica Neue" w:hAnsi="Helvetica Neue"/>
          <w:color w:val="33353C"/>
          <w:sz w:val="23"/>
          <w:szCs w:val="23"/>
        </w:rPr>
        <w:t>-6.8%</w:t>
      </w:r>
      <w:r>
        <w:rPr>
          <w:rFonts w:ascii="Helvetica Neue" w:hAnsi="Helvetica Neue"/>
          <w:color w:val="33353C"/>
          <w:sz w:val="23"/>
          <w:szCs w:val="23"/>
        </w:rPr>
        <w:t>，前值</w:t>
      </w:r>
      <w:r>
        <w:rPr>
          <w:rFonts w:ascii="Helvetica Neue" w:hAnsi="Helvetica Neue"/>
          <w:color w:val="33353C"/>
          <w:sz w:val="23"/>
          <w:szCs w:val="23"/>
        </w:rPr>
        <w:t>6%</w:t>
      </w:r>
      <w:r>
        <w:rPr>
          <w:rFonts w:ascii="Helvetica Neue" w:hAnsi="Helvetica Neue"/>
          <w:color w:val="33353C"/>
          <w:sz w:val="23"/>
          <w:szCs w:val="23"/>
        </w:rPr>
        <w:t>；（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主要由生产、投资和消费构成）</w:t>
      </w:r>
    </w:p>
    <w:p w14:paraId="0A709E1D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经济预期</w:t>
      </w:r>
      <w:r>
        <w:rPr>
          <w:rFonts w:ascii="Helvetica Neue" w:hAnsi="Helvetica Neue"/>
          <w:color w:val="33353C"/>
          <w:sz w:val="23"/>
          <w:szCs w:val="23"/>
        </w:rPr>
        <w:t>——10</w:t>
      </w:r>
      <w:r>
        <w:rPr>
          <w:rFonts w:ascii="Helvetica Neue" w:hAnsi="Helvetica Neue"/>
          <w:color w:val="33353C"/>
          <w:sz w:val="23"/>
          <w:szCs w:val="23"/>
        </w:rPr>
        <w:t>年国债、</w:t>
      </w:r>
      <w:r>
        <w:rPr>
          <w:rFonts w:ascii="Helvetica Neue" w:hAnsi="Helvetica Neue"/>
          <w:color w:val="33353C"/>
          <w:sz w:val="23"/>
          <w:szCs w:val="23"/>
        </w:rPr>
        <w:t>10</w:t>
      </w:r>
      <w:r>
        <w:rPr>
          <w:rFonts w:ascii="Helvetica Neue" w:hAnsi="Helvetica Neue"/>
          <w:color w:val="33353C"/>
          <w:sz w:val="23"/>
          <w:szCs w:val="23"/>
        </w:rPr>
        <w:t>年国开债收益率反弹，经济预期转为乐观。</w:t>
      </w:r>
    </w:p>
    <w:p w14:paraId="1D6E82A6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社融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增速向上。</w:t>
      </w:r>
    </w:p>
    <w:p w14:paraId="3396D20D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PMI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BCI</w:t>
      </w:r>
      <w:r>
        <w:rPr>
          <w:rFonts w:ascii="Helvetica Neue" w:hAnsi="Helvetica Neue"/>
          <w:color w:val="33353C"/>
          <w:sz w:val="23"/>
          <w:szCs w:val="23"/>
        </w:rPr>
        <w:t>指数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弱反弹。</w:t>
      </w:r>
    </w:p>
    <w:p w14:paraId="3C051BF5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投资、消费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弱反弹。</w:t>
      </w:r>
    </w:p>
    <w:p w14:paraId="2B0E5AAD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政策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稳字当头，意味着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达到某一个数值，但是经济不能出结构性问题。稳住宏观杠杆率。货币政策零活适度。房住不炒定位。</w:t>
      </w:r>
    </w:p>
    <w:p w14:paraId="60B95C10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赚钱效应：偏负面</w:t>
      </w:r>
    </w:p>
    <w:p w14:paraId="420DBB03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截止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股收盘，上涨的股票有</w:t>
      </w:r>
      <w:r>
        <w:rPr>
          <w:rFonts w:ascii="Helvetica Neue" w:hAnsi="Helvetica Neue"/>
          <w:color w:val="33353C"/>
          <w:sz w:val="23"/>
          <w:szCs w:val="23"/>
        </w:rPr>
        <w:t>1245</w:t>
      </w:r>
      <w:r>
        <w:rPr>
          <w:rFonts w:ascii="Helvetica Neue" w:hAnsi="Helvetica Neue"/>
          <w:color w:val="33353C"/>
          <w:sz w:val="23"/>
          <w:szCs w:val="23"/>
        </w:rPr>
        <w:t>只，下跌的</w:t>
      </w:r>
      <w:r>
        <w:rPr>
          <w:rFonts w:ascii="Helvetica Neue" w:hAnsi="Helvetica Neue"/>
          <w:color w:val="33353C"/>
          <w:sz w:val="23"/>
          <w:szCs w:val="23"/>
        </w:rPr>
        <w:t>2497</w:t>
      </w:r>
      <w:r>
        <w:rPr>
          <w:rFonts w:ascii="Helvetica Neue" w:hAnsi="Helvetica Neue"/>
          <w:color w:val="33353C"/>
          <w:sz w:val="23"/>
          <w:szCs w:val="23"/>
        </w:rPr>
        <w:t>只。</w:t>
      </w:r>
    </w:p>
    <w:p w14:paraId="23CC3CD4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从盘面来看，成交量比上个交易日上升，成交额下降，成交价下降，可以看出市场的卖盘增加。</w:t>
      </w:r>
    </w:p>
    <w:p w14:paraId="6D466994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市场风格：</w:t>
      </w:r>
    </w:p>
    <w:p w14:paraId="414D476E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借着端午期间海外股市大跌，股票市场调整。创业板指最低跌</w:t>
      </w:r>
      <w:r>
        <w:rPr>
          <w:rFonts w:ascii="Helvetica Neue" w:hAnsi="Helvetica Neue"/>
          <w:color w:val="33353C"/>
          <w:sz w:val="23"/>
          <w:szCs w:val="23"/>
        </w:rPr>
        <w:t>0.94%</w:t>
      </w:r>
      <w:r>
        <w:rPr>
          <w:rFonts w:ascii="Helvetica Neue" w:hAnsi="Helvetica Neue"/>
          <w:color w:val="33353C"/>
          <w:sz w:val="23"/>
          <w:szCs w:val="23"/>
        </w:rPr>
        <w:t>，收盘跌</w:t>
      </w:r>
      <w:r>
        <w:rPr>
          <w:rFonts w:ascii="Helvetica Neue" w:hAnsi="Helvetica Neue"/>
          <w:color w:val="33353C"/>
          <w:sz w:val="23"/>
          <w:szCs w:val="23"/>
        </w:rPr>
        <w:t>0.42%</w:t>
      </w:r>
      <w:r>
        <w:rPr>
          <w:rFonts w:ascii="Helvetica Neue" w:hAnsi="Helvetica Neue"/>
          <w:color w:val="33353C"/>
          <w:sz w:val="23"/>
          <w:szCs w:val="23"/>
        </w:rPr>
        <w:t>，上证</w:t>
      </w:r>
      <w:r>
        <w:rPr>
          <w:rFonts w:ascii="Helvetica Neue" w:hAnsi="Helvetica Neue"/>
          <w:color w:val="33353C"/>
          <w:sz w:val="23"/>
          <w:szCs w:val="23"/>
        </w:rPr>
        <w:t>50</w:t>
      </w:r>
      <w:r>
        <w:rPr>
          <w:rFonts w:ascii="Helvetica Neue" w:hAnsi="Helvetica Neue"/>
          <w:color w:val="33353C"/>
          <w:sz w:val="23"/>
          <w:szCs w:val="23"/>
        </w:rPr>
        <w:t>最低跌</w:t>
      </w:r>
      <w:r>
        <w:rPr>
          <w:rFonts w:ascii="Helvetica Neue" w:hAnsi="Helvetica Neue"/>
          <w:color w:val="33353C"/>
          <w:sz w:val="23"/>
          <w:szCs w:val="23"/>
        </w:rPr>
        <w:t>1.16%</w:t>
      </w:r>
      <w:r>
        <w:rPr>
          <w:rFonts w:ascii="Helvetica Neue" w:hAnsi="Helvetica Neue"/>
          <w:color w:val="33353C"/>
          <w:sz w:val="23"/>
          <w:szCs w:val="23"/>
        </w:rPr>
        <w:t>，收盘跌</w:t>
      </w:r>
      <w:r>
        <w:rPr>
          <w:rFonts w:ascii="Helvetica Neue" w:hAnsi="Helvetica Neue"/>
          <w:color w:val="33353C"/>
          <w:sz w:val="23"/>
          <w:szCs w:val="23"/>
        </w:rPr>
        <w:t>0.61%</w:t>
      </w:r>
      <w:r>
        <w:rPr>
          <w:rFonts w:ascii="Helvetica Neue" w:hAnsi="Helvetica Neue"/>
          <w:color w:val="33353C"/>
          <w:sz w:val="23"/>
          <w:szCs w:val="23"/>
        </w:rPr>
        <w:t>，沪深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最低跌</w:t>
      </w:r>
      <w:r>
        <w:rPr>
          <w:rFonts w:ascii="Helvetica Neue" w:hAnsi="Helvetica Neue"/>
          <w:color w:val="33353C"/>
          <w:sz w:val="23"/>
          <w:szCs w:val="23"/>
        </w:rPr>
        <w:t>1.12%</w:t>
      </w:r>
      <w:r>
        <w:rPr>
          <w:rFonts w:ascii="Helvetica Neue" w:hAnsi="Helvetica Neue"/>
          <w:color w:val="33353C"/>
          <w:sz w:val="23"/>
          <w:szCs w:val="23"/>
        </w:rPr>
        <w:t>，收盘跌</w:t>
      </w:r>
      <w:r>
        <w:rPr>
          <w:rFonts w:ascii="Helvetica Neue" w:hAnsi="Helvetica Neue"/>
          <w:color w:val="33353C"/>
          <w:sz w:val="23"/>
          <w:szCs w:val="23"/>
        </w:rPr>
        <w:t>0.71%</w:t>
      </w:r>
      <w:r>
        <w:rPr>
          <w:rFonts w:ascii="Helvetica Neue" w:hAnsi="Helvetica Neue"/>
          <w:color w:val="33353C"/>
          <w:sz w:val="23"/>
          <w:szCs w:val="23"/>
        </w:rPr>
        <w:t>。今天沪深两市成交</w:t>
      </w:r>
      <w:r>
        <w:rPr>
          <w:rFonts w:ascii="Helvetica Neue" w:hAnsi="Helvetica Neue"/>
          <w:color w:val="33353C"/>
          <w:sz w:val="23"/>
          <w:szCs w:val="23"/>
        </w:rPr>
        <w:t>7115</w:t>
      </w:r>
      <w:r>
        <w:rPr>
          <w:rFonts w:ascii="Helvetica Neue" w:hAnsi="Helvetica Neue"/>
          <w:color w:val="33353C"/>
          <w:sz w:val="23"/>
          <w:szCs w:val="23"/>
        </w:rPr>
        <w:t>亿，较节前有些缩量。</w:t>
      </w:r>
    </w:p>
    <w:p w14:paraId="4CBA19C2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十年国开债</w:t>
      </w:r>
      <w:r>
        <w:rPr>
          <w:rFonts w:ascii="Helvetica Neue" w:hAnsi="Helvetica Neue"/>
          <w:color w:val="33353C"/>
          <w:sz w:val="23"/>
          <w:szCs w:val="23"/>
        </w:rPr>
        <w:t>200205</w:t>
      </w:r>
      <w:r>
        <w:rPr>
          <w:rFonts w:ascii="Helvetica Neue" w:hAnsi="Helvetica Neue"/>
          <w:color w:val="33353C"/>
          <w:sz w:val="23"/>
          <w:szCs w:val="23"/>
        </w:rPr>
        <w:t>上行</w:t>
      </w:r>
      <w:r>
        <w:rPr>
          <w:rFonts w:ascii="Helvetica Neue" w:hAnsi="Helvetica Neue"/>
          <w:color w:val="33353C"/>
          <w:sz w:val="23"/>
          <w:szCs w:val="23"/>
        </w:rPr>
        <w:t>0.75BP</w:t>
      </w:r>
      <w:r>
        <w:rPr>
          <w:rFonts w:ascii="Helvetica Neue" w:hAnsi="Helvetica Neue"/>
          <w:color w:val="33353C"/>
          <w:sz w:val="23"/>
          <w:szCs w:val="23"/>
        </w:rPr>
        <w:t>，收盘至</w:t>
      </w:r>
      <w:r>
        <w:rPr>
          <w:rFonts w:ascii="Helvetica Neue" w:hAnsi="Helvetica Neue"/>
          <w:color w:val="33353C"/>
          <w:sz w:val="23"/>
          <w:szCs w:val="23"/>
        </w:rPr>
        <w:t>3.1575%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1A7AF64E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北上资金继续净流入，北上资金在一定程度上代表长期资金的入驻，对于股市来说是利好。</w:t>
      </w:r>
    </w:p>
    <w:p w14:paraId="7A47C51B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股息率相对于债券收益率。</w:t>
      </w:r>
    </w:p>
    <w:p w14:paraId="2E61948C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市场仍然表现出成长优于价值的态势。</w:t>
      </w:r>
    </w:p>
    <w:p w14:paraId="708C7C86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lastRenderedPageBreak/>
        <w:t>受给银行发券商牌照的影响，银行和券商板块大幅波动，今天银行板块走势比较坑，最高冲高到</w:t>
      </w:r>
      <w:r>
        <w:rPr>
          <w:rFonts w:ascii="Helvetica Neue" w:hAnsi="Helvetica Neue"/>
          <w:color w:val="33353C"/>
          <w:sz w:val="23"/>
          <w:szCs w:val="23"/>
        </w:rPr>
        <w:t>0.96%</w:t>
      </w:r>
      <w:r>
        <w:rPr>
          <w:rFonts w:ascii="Helvetica Neue" w:hAnsi="Helvetica Neue"/>
          <w:color w:val="33353C"/>
          <w:sz w:val="23"/>
          <w:szCs w:val="23"/>
        </w:rPr>
        <w:t>，收盘跌</w:t>
      </w:r>
      <w:r>
        <w:rPr>
          <w:rFonts w:ascii="Helvetica Neue" w:hAnsi="Helvetica Neue"/>
          <w:color w:val="33353C"/>
          <w:sz w:val="23"/>
          <w:szCs w:val="23"/>
        </w:rPr>
        <w:t>0.22%</w:t>
      </w:r>
      <w:r>
        <w:rPr>
          <w:rFonts w:ascii="Helvetica Neue" w:hAnsi="Helvetica Neue"/>
          <w:color w:val="33353C"/>
          <w:sz w:val="23"/>
          <w:szCs w:val="23"/>
        </w:rPr>
        <w:t>。非银板块下跌</w:t>
      </w:r>
      <w:r>
        <w:rPr>
          <w:rFonts w:ascii="Helvetica Neue" w:hAnsi="Helvetica Neue"/>
          <w:color w:val="33353C"/>
          <w:sz w:val="23"/>
          <w:szCs w:val="23"/>
        </w:rPr>
        <w:t>2.47%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58920D53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今年涨幅比较大的三个板块分别是消费、医药和科技，三个板块都处于高位。</w:t>
      </w:r>
    </w:p>
    <w:p w14:paraId="761611AD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市场对流动性，很敏感。</w:t>
      </w:r>
    </w:p>
    <w:p w14:paraId="47B10299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基本上流动性看四大块：</w:t>
      </w:r>
    </w:p>
    <w:p w14:paraId="6CBD7F05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、社融增速；</w:t>
      </w:r>
    </w:p>
    <w:p w14:paraId="3CBEE20C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2</w:t>
      </w:r>
      <w:r>
        <w:rPr>
          <w:rFonts w:ascii="Helvetica Neue" w:hAnsi="Helvetica Neue"/>
          <w:color w:val="33353C"/>
          <w:sz w:val="23"/>
          <w:szCs w:val="23"/>
        </w:rPr>
        <w:t>、北上资金；</w:t>
      </w:r>
    </w:p>
    <w:p w14:paraId="01F2AA53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3</w:t>
      </w:r>
      <w:r>
        <w:rPr>
          <w:rFonts w:ascii="Helvetica Neue" w:hAnsi="Helvetica Neue"/>
          <w:color w:val="33353C"/>
          <w:sz w:val="23"/>
          <w:szCs w:val="23"/>
        </w:rPr>
        <w:t>、新发基金量；</w:t>
      </w:r>
    </w:p>
    <w:p w14:paraId="557CDBF6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4</w:t>
      </w:r>
      <w:r>
        <w:rPr>
          <w:rFonts w:ascii="Helvetica Neue" w:hAnsi="Helvetica Neue"/>
          <w:color w:val="33353C"/>
          <w:sz w:val="23"/>
          <w:szCs w:val="23"/>
        </w:rPr>
        <w:t>、沪深两市成交量；</w:t>
      </w:r>
    </w:p>
    <w:p w14:paraId="320F53D9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最基础的还是看社融增速，这个指标出问题，股市会有比较大的调整。</w:t>
      </w:r>
    </w:p>
    <w:p w14:paraId="11107065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短期就是看北上资金（外部）和新发基金（内部），沪深两市成交量算一个后验的指标。如果短期流动性指标比较差，股市偏震荡一些。</w:t>
      </w:r>
    </w:p>
    <w:p w14:paraId="3EB48DE3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如果经济基本面一般，资金会从价值流到成长，成长相对跌得少一些。</w:t>
      </w:r>
    </w:p>
    <w:p w14:paraId="2FB403F9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说实话，价值不会因为涨得少而少跌，今年的很多价值股真得很惨，涨得时候没份，跌得时候一次也没落下。</w:t>
      </w:r>
    </w:p>
    <w:p w14:paraId="28093E60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如果实在找不到合适的票，宁可持有指数或者现金也不去盲目地搞太多价值。</w:t>
      </w:r>
    </w:p>
    <w:p w14:paraId="05AAB754" w14:textId="77777777" w:rsid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公募基金一季度的持仓相较年初的持仓从</w:t>
      </w:r>
      <w:r>
        <w:rPr>
          <w:rFonts w:ascii="Helvetica Neue" w:hAnsi="Helvetica Neue"/>
          <w:color w:val="33353C"/>
          <w:sz w:val="23"/>
          <w:szCs w:val="23"/>
        </w:rPr>
        <w:t>89%-&gt;86%</w:t>
      </w:r>
      <w:r>
        <w:rPr>
          <w:rFonts w:ascii="Helvetica Neue" w:hAnsi="Helvetica Neue"/>
          <w:color w:val="33353C"/>
          <w:sz w:val="23"/>
          <w:szCs w:val="23"/>
        </w:rPr>
        <w:t>，赌场的资金又减少了，不是个好消息。</w:t>
      </w:r>
    </w:p>
    <w:p w14:paraId="0147CBD0" w14:textId="77777777" w:rsidR="00305835" w:rsidRPr="00E50DBC" w:rsidRDefault="00E50DBC" w:rsidP="00E50DBC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  <w:bookmarkStart w:id="0" w:name="_GoBack"/>
      <w:bookmarkEnd w:id="0"/>
    </w:p>
    <w:sectPr w:rsidR="00305835" w:rsidRPr="00E50DBC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DBC"/>
    <w:rsid w:val="00305835"/>
    <w:rsid w:val="00CC3AB4"/>
    <w:rsid w:val="00E5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C7E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0DB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1319</Characters>
  <Application>Microsoft Macintosh Word</Application>
  <DocSecurity>0</DocSecurity>
  <Lines>10</Lines>
  <Paragraphs>3</Paragraphs>
  <ScaleCrop>false</ScaleCrop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2020-06-29T16:14:00Z</dcterms:created>
  <dcterms:modified xsi:type="dcterms:W3CDTF">2020-06-29T16:14:00Z</dcterms:modified>
</cp:coreProperties>
</file>