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color w:val="1C416A"/>
          <w:sz w:val="32"/>
        </w:rPr>
        <w:t>第三至第九周推进安排（参考）</w:t>
      </w:r>
    </w:p>
    <w:p>
      <w:r>
        <w:t>项目：手部精细运动康复训练系统（指尖康复）</w:t>
      </w:r>
    </w:p>
    <w:p>
      <w:r>
        <w:t>以下为第三至第九周的重点安排，每周围绕一个模块继续完善和验收，按实际进展调整。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1417"/>
        <w:gridCol w:w="1814"/>
        <w:gridCol w:w="5443"/>
      </w:tblGrid>
      <w:tr>
        <w:trPr>
          <w:cantSplit/>
        </w:trPr>
        <w:tc>
          <w:tcPr>
            <w:tcW w:type="dxa" w:w="964"/>
            <w:shd w:fill="EAF1F8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1417"/>
            <w:shd w:fill="EAF1F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814"/>
            <w:shd w:fill="EAF1F8"/>
          </w:tcPr>
          <w:p>
            <w:r>
              <w:rPr>
                <w:b/>
              </w:rPr>
              <w:t>每周重点</w:t>
            </w:r>
          </w:p>
        </w:tc>
        <w:tc>
          <w:tcPr>
            <w:tcW w:type="dxa" w:w="5443"/>
            <w:shd w:fill="EAF1F8"/>
          </w:tcPr>
          <w:p>
            <w:r>
              <w:rPr>
                <w:b/>
              </w:rPr>
              <w:t>拟完善与验证内容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第三周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10.16-10.22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个人档案与本地保存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完善昵称、惯用手和目标设置；检查输入校验、修改保存及重开后的数据一致性。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第四周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10.23-10.29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轨迹描绘与评分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细化直线、圆形和螺旋轨迹的触摸反馈；验证偏差、覆盖率和未完成情况。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第五周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10.30-11.05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反应及协调训练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完善随机目标、顺序与连续点击的操作体验，检查计时、误触和难度差异。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第六周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11.06-11.12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训练历史与统计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检查训练记录读写、类型筛选和分页，完善真实成绩与次数图表。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第七周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11.13-11.19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难度设置与推荐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完善难度参数及历史推荐规则，验证只给建议、由用户自行选择。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第八周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11.20-11.26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训练计划与提醒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完善每日目标和提醒设置，检查通知权限、后台调度及重启恢复。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120" w:before="120"/>
            </w:pPr>
            <w:r>
              <w:t>第九周</w:t>
            </w:r>
          </w:p>
        </w:tc>
        <w:tc>
          <w:tcPr>
            <w:tcW w:type="dxa" w:w="1417"/>
          </w:tcPr>
          <w:p>
            <w:pPr>
              <w:spacing w:after="120" w:before="120"/>
            </w:pPr>
            <w:r>
              <w:t>11.27-12.03</w:t>
            </w:r>
          </w:p>
        </w:tc>
        <w:tc>
          <w:tcPr>
            <w:tcW w:type="dxa" w:w="1814"/>
          </w:tcPr>
          <w:p>
            <w:pPr>
              <w:spacing w:after="120" w:before="120"/>
            </w:pPr>
            <w:r>
              <w:t>联调验收与报告</w:t>
            </w:r>
          </w:p>
        </w:tc>
        <w:tc>
          <w:tcPr>
            <w:tcW w:type="dxa" w:w="5443"/>
          </w:tcPr>
          <w:p>
            <w:pPr>
              <w:spacing w:after="120" w:before="120"/>
            </w:pPr>
            <w:r>
              <w:t>进行兼容性和完整流程验收，修复遗留问题，整理课程报告及演示材料。</w:t>
            </w:r>
          </w:p>
        </w:tc>
      </w:tr>
    </w:tbl>
    <w:p>
      <w:pPr>
        <w:spacing w:before="200"/>
      </w:pPr>
      <w:r>
        <w:rPr>
          <w:color w:val="5D6B7C"/>
          <w:sz w:val="20"/>
        </w:rPr>
        <w:t>第二周仅提交基础工程配置、目录分工和编译启动调试相关成果。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