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论文1第二轮评审意见处理对照</w:t>
      </w:r>
    </w:p>
    <w:p>
      <w:r>
        <w:rPr/>
        <w:t>作者：Ziyuan Zhu。目标期刊：PLOS ONE。</w:t>
      </w:r>
    </w:p>
    <w:p>
      <w:r>
        <w:rPr/>
        <w:t>本文是对作者提供的科研评审报告的修改记录，不冒充 PLOS 编辑决定或正式外审回复。原在投稿件信息为作者既有记录中的 PONE-D-26-50597（2026-10-09）；编辑系统的当前状态仍以实际门户为准。</w:t>
      </w:r>
    </w:p>
    <w:p>
      <w:pPr>
        <w:pStyle w:val="Heading1"/>
      </w:pPr>
      <w:r>
        <w:rPr/>
        <w:t>一、先核对评审版本</w:t>
      </w:r>
    </w:p>
    <w:p>
      <w:r>
        <w:rPr/>
        <w:t xml:space="preserve">报告评的是 20261010 候选稿及尚未并入的 v3 修订段。本次修改以已经公开的 </w:t>
      </w:r>
      <w:r>
        <w:rPr>
          <w:rFonts w:ascii="DejaVu Sans Mono" w:hAnsi="DejaVu Sans Mono"/>
          <w:sz w:val="20"/>
        </w:rPr>
        <w:t>7b2932124ca06d8bcd65c9e618cd7ce65d68796f</w:t>
      </w:r>
      <w:r>
        <w:rPr/>
        <w:t xml:space="preserve"> 稿件为起点。该版本已经纳入 v3、五图、全部48条件、Yang/​Dreyer引用和完整源数据。本轮保留这些已完成内容，针对真正缺项继续修改。</w:t>
      </w:r>
    </w:p>
    <w:p>
      <w:pPr>
        <w:pStyle w:val="Heading1"/>
      </w:pPr>
      <w:r>
        <w:rPr/>
        <w:t>二、把最强阳性发现放到前面</w:t>
      </w:r>
    </w:p>
    <w:p>
      <w:r>
        <w:rPr/>
        <w:t xml:space="preserve">题名改为 </w:t>
      </w:r>
      <w:r>
        <w:rPr>
          <w:b/>
        </w:rPr>
        <w:t>Source-cohort expansion improves weaker-class coverage in cross-subject motor-imagery EEG decoding</w:t>
      </w:r>
      <w:r>
        <w:rPr/>
        <w:t>。摘要、引言开头和结论首先呈现主比较：较弱类召回 +21.17 pp、平衡准确率 +5.85 pp、72/​85人改善。引言随后明确五项贡献：固定完整轨迹预算的扩源设计、相同选中时长的对照、较弱类覆盖与个体结局、共同通道无量纲处理、源域选轮至外部预测的证据链。</w:t>
      </w:r>
    </w:p>
    <w:p>
      <w:r>
        <w:rPr/>
        <w:t>针对“最强阳性结果没写充分”的意见，本轮增加两组补充比较：固定S29配置的较弱类召回比S9高21.7157 pp，传统CSP–LDA的S60比S9高13.8235 pp。两组各同时报告平衡准确率，形成完整四项事后分析，单独使用Holm校正。结果进入主文Table 4、Fig 6及源数据。</w:t>
      </w:r>
    </w:p>
    <w:p>
      <w:r>
        <w:rPr/>
        <w:t>完整68项描述清单另显示：20轮对照中，S60−S9的弱类召回提高17.0686 pp（BROAD）和24.8725 pp（共享双频），三个种子的24个对应差值均为正。</w:t>
      </w:r>
    </w:p>
    <w:p>
      <w:r>
        <w:rPr/>
        <w:t>这些比较由评审意见触发，在结局已知后明确记录分析范围，再从保存的逐人三种子均值计算。它们不是新预设主终点，也没有重新训练、推理或挑选新规则。</w:t>
      </w:r>
    </w:p>
    <w:p>
      <w:pPr>
        <w:pStyle w:val="Heading1"/>
      </w:pPr>
      <w:r>
        <w:rPr/>
        <w:t>三、删除重复防御性写作</w:t>
      </w:r>
    </w:p>
    <w:p>
      <w:r>
        <w:rPr/>
        <w:t>主文优先写“发现了什么、改善了多少、对源设计有什么意义”。摘要不再串联两项零结果与多句自我否定，结论收束于实际改善和可复现方法。一般外推限制集中于Discussion最后一段；时钟、统计单位、选轮和事后身份保留在定义它们的方法位置。</w:t>
      </w:r>
    </w:p>
    <w:p>
      <w:r>
        <w:rPr/>
        <w:t>原有两项次要比较仍在完整Table 2和末尾一处简短结果说明中，详细统计和解释保存在补充材料。没有删除会改变研究结论的数值、参与者变化或冻结比较，也没有将不显著包装为等效。</w:t>
      </w:r>
    </w:p>
    <w:p>
      <w:pPr>
        <w:pStyle w:val="Heading1"/>
      </w:pPr>
      <w:r>
        <w:rPr/>
        <w:t>四、逐项处理关键科学意见</w:t>
      </w:r>
    </w:p>
    <w:p>
      <w:r>
        <w:rPr>
          <w:b/>
        </w:rPr>
        <w:t>CSP的同向改善：已落实。</w:t>
      </w:r>
      <w:r>
        <w:rPr/>
        <w:t xml:space="preserve"> 新增CSP较弱类召回+13.8235 pp（95% CI 9.1980–18.4490）、平衡准确率+5.2451 pp（95% CI 3.5345–6.9557）。主文正面说明，源扩展改善同时出现于本研究的神经与传统管线。没有使用未经检验的“统计等同”或“对所有算法无关”表述。</w:t>
      </w:r>
    </w:p>
    <w:p>
      <w:r>
        <w:rPr>
          <w:b/>
        </w:rPr>
        <w:t>S29的价值：已落实。</w:t>
      </w:r>
      <w:r>
        <w:rPr/>
        <w:t xml:space="preserve"> 固定20名Yang子集的配置已经观察到显著的较弱类召回改善，补充比较为+21.7157 pp（95% CI 17.7228–25.7086）。保留实际S29与S60均值，展示主要观察增益位于BNCI-​only与混合源配置之间。没有从单一子集推出通用“20人足够”的阈值，也没有追加目标驱动的子集训练。</w:t>
      </w:r>
    </w:p>
    <w:p>
      <w:r>
        <w:rPr>
          <w:b/>
        </w:rPr>
        <w:t>固定预算与因果范围：已落实。</w:t>
      </w:r>
      <w:r>
        <w:rPr/>
        <w:t xml:space="preserve"> 各完整轨迹为5120次更新，主规则选择epoch为27/​5/​5。方法明确50:50队列采样，图示同时标出预算和选中轮次。结论围绕整个扩源配置展开。</w:t>
      </w:r>
    </w:p>
    <w:p>
      <w:r>
        <w:rPr>
          <w:b/>
        </w:rPr>
        <w:t>Yang/Dreyer边界：已落实。</w:t>
      </w:r>
      <w:r>
        <w:rPr/>
        <w:t xml:space="preserve"> 方法保留Yang marker+[2,4)秒及1.5秒计算锚的实际含义；Dreyer保持探索性外部评估定位，保留feedback窗口和实际EDF版本。没有将不同原格式称为相同字节或将旧19通道协议并入新数值。</w:t>
      </w:r>
    </w:p>
    <w:p>
      <w:r>
        <w:rPr>
          <w:b/>
        </w:rPr>
        <w:t>历史正面诊断及Cho2017失败模式：保留于S1 Appendix。</w:t>
      </w:r>
      <w:r>
        <w:rPr/>
        <w:t xml:space="preserve"> 补充两epoch与16epoch的S3四格诊断数值、Cho左右召回转移，以及旧符号检验不同口径应如何引用。这些是历史协议下的证据，不作为本轮新增外部样本。</w:t>
      </w:r>
    </w:p>
    <w:p>
      <w:pPr>
        <w:pStyle w:val="Heading1"/>
      </w:pPr>
      <w:r>
        <w:rPr/>
        <w:t>五、伦理、姓名与文档</w:t>
      </w:r>
    </w:p>
    <w:p>
      <w:r>
        <w:rPr/>
        <w:t xml:space="preserve">作者本轮确认：重庆医科大学科研处于 </w:t>
      </w:r>
      <w:r>
        <w:rPr>
          <w:b/>
        </w:rPr>
        <w:t>2026-10-17</w:t>
      </w:r>
      <w:r>
        <w:rPr/>
        <w:t xml:space="preserve"> 依据2023年《涉及人的生命科学和医学研究伦理审查办法》第三十二条第（一）项，确认本论文BNCI、Yang、Dreyer公开数据二次分析免予伦理审查。主文、补充材料、投稿字段及独立作者说明已统一。论文1的17日与报告提及的论文2的16日区分记录；不编造编号、签章或机构函。</w:t>
      </w:r>
    </w:p>
    <w:p>
      <w:r>
        <w:rPr/>
        <w:t xml:space="preserve">姓名和DOCX元数据统一为 </w:t>
      </w:r>
      <w:r>
        <w:rPr>
          <w:b/>
        </w:rPr>
        <w:t>Ziyuan Zhu</w:t>
      </w:r>
      <w:r>
        <w:rPr/>
        <w:t xml:space="preserve">，Given=Ziyuan、Family=Zhu。正确ORCID为 </w:t>
      </w:r>
      <w:r>
        <w:rPr>
          <w:b/>
        </w:rPr>
        <w:t>0009-0005-1153-4926</w:t>
      </w:r>
      <w:r>
        <w:rPr/>
        <w:t>。文稿已修正；外部ORCID账户的实际编辑及门户关联需由本人核对，不能把本地改稿写成外部账户已更新。</w:t>
      </w:r>
    </w:p>
    <w:p>
      <w:r>
        <w:rPr/>
        <w:t>主文、含图审阅版、补充材料、投稿信、伦理作者说明、投稿字段和本修改对照均提供DOCX。正文12磅Times兼容字体、双倍行距、连续行号和页码，可编辑表格；本机实际可用字体为Liberation Serif，导出记录如实记载，不冒称已安装Times New Roman。</w:t>
      </w:r>
    </w:p>
    <w:p>
      <w:pPr>
        <w:pStyle w:val="Heading1"/>
      </w:pPr>
      <w:r>
        <w:rPr/>
        <w:t>六、图件、数据与许可</w:t>
      </w:r>
    </w:p>
    <w:p>
      <w:r>
        <w:rPr/>
        <w:t>七张图从已有数值直接渲染600 dpi RGB/LZW TIFF，另保留PNG、SVG及PDF。新增Fig 6显示完整四项事后比较，Fig 7显示同20轮/2560更新下的全部固定时长对照。原四项冻结比较、85人变化及48个选轮保留。</w:t>
      </w:r>
    </w:p>
    <w:p>
      <w:r>
        <w:rPr/>
        <w:t>完整神经预测和CSP预测分别作为S2、S3 Data提供，字节数分别为17,909,361和828,011，均低于20 MB。S1 Data补入事后分析计划、完整比较及340行逐人差值。没有新增EEG或模型权重。</w:t>
      </w:r>
    </w:p>
    <w:p>
      <w:r>
        <w:rPr/>
        <w:t>Yang v5与Dreyer原始存档的CC BY 4.0许可已通过官方元数据核对；第三方数据条款与作者原创输出许可分别说明。保留现有真实数据DOI，没有虚构本仓库归档DOI。</w:t>
      </w:r>
    </w:p>
    <w:p>
      <w:pPr>
        <w:pStyle w:val="Heading1"/>
      </w:pPr>
      <w:r>
        <w:rPr/>
        <w:t>七、提交前仍由作者完成</w:t>
      </w:r>
    </w:p>
    <w:p>
      <w:r>
        <w:rPr/>
        <w:t>审读批准本轮新稿；核对现有稿件的编辑状态和允许的换稿方式；按门户要求提供实际学校说明/​联系人或原始记录；核对ORCID账户及系统合成PDF。此记录不会向期刊发送消息，也没有代替作者执行正式换稿或重新投稿。</w:t>
      </w:r>
    </w:p>
    <w:sectPr w:rsidR="00FC693F" w:rsidRPr="0006063C" w:rsidSect="00034616">
      <w:footerReference w:type="default" r:id="rId9"/>
      <w:pgSz w:w="11909" w:h="16834"/>
      <w:pgMar w:top="1224" w:right="1152" w:bottom="1224" w:left="136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sz w:val="20"/>
      </w:rPr>
      <w:t xml:space="preserve">Page </w:t>
    </w:r>
    <w:r>
      <w:rPr>
        <w:rFonts w:ascii="Liberation Serif" w:hAnsi="Liberation Serif"/>
        <w:sz w:val="20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Liberation Serif" w:hAnsi="Liberation Serif" w:cs="Liberation Serif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="Liberation Serif" w:hAnsi="Liberation Serif" w:cs="Liberation Serif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="Liberation Serif" w:hAnsi="Liberation Serif" w:cs="Liberation Serif" w:eastAsia="Noto Serif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="Liberation Serif" w:hAnsi="Liberation Serif" w:cs="Liberation Serif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240"/>
      <w:contextualSpacing/>
    </w:pPr>
    <w:rPr>
      <w:rFonts w:ascii="Liberation Serif" w:hAnsi="Liberation Serif" w:cs="Liberation Serif" w:eastAsia="Noto Serif CJK SC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0"/>
      <w:contextualSpacing/>
    </w:pPr>
    <w:rPr>
      <w:rFonts w:ascii="Liberation Serif" w:hAnsi="Liberation Serif" w:cs="Liberation Serif" w:eastAsia="Noto Serif CJK SC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0"/>
      <w:contextualSpacing/>
    </w:pPr>
    <w:rPr>
      <w:rFonts w:ascii="Liberation Serif" w:hAnsi="Liberation Serif" w:cs="Liberation Serif" w:eastAsia="Noto Serif CJK SC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论文1第二轮评审意见处理对照</dc:title>
  <dc:subject>PLOS ONE manuscript materials</dc:subject>
  <dc:creator>Ziyuan Zhu</dc:creator>
  <cp:keywords>motor imagery; EEG; source-only selection; source-cohort expansion</cp:keywords>
  <dc:description>generated by python-docx</dc:description>
  <cp:lastModifiedBy/>
  <cp:revision>1</cp:revision>
  <dcterms:created xsi:type="dcterms:W3CDTF">2026-10-18T06:19:23Z</dcterms:created>
  <dcterms:modified xsi:type="dcterms:W3CDTF">2026-10-18T06:19:23Z</dcterms:modified>
  <cp:category/>
</cp:coreProperties>
</file>