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 expansion and two-class coverage in EEG decoding</w:t>
      </w:r>
    </w:p>
    <w:p>
      <w:pPr>
        <w:pStyle w:val="Heading1"/>
      </w:pPr>
      <w:r>
        <w:rPr/>
        <w:t>Abstract</w:t>
      </w:r>
    </w:p>
    <w:p>
      <w:r>
        <w:rPr/>
        <w:t>Adding a second source acquisition cohort can improve recognition of the less accurately decoded motor-imagery class. We quantified this strategy using nine BNCI participants alone (S9), those nine plus 20 Yang participants (S29), and the nine plus all 51 Yang participants (S60). Each neural trajectory received 5,120 optimizer updates; eight source-only checkpoint-selection rules were applied to broadband and shared mu/beta EEGNet pipelines. The completed experiment comprised 108 neural trajectories and nine conventional CSP–LDA fits. External evaluation used 85 Dreyer participants, with metrics averaged across three final seeds within person. In the prespecified broadband/tail-recall comparison, mean weaker-class recall increased from 27.31% to 48.48% with S60: +21.17 percentage points (95% CI 17.12–25.21; paired p=8.88×10⁻¹⁷). Seventy-two of 85 participants improved. Balanced accuracy increased by 5.85 points (95% CI 4.13–7.58; Holm-adjusted p=5.34×10⁻⁹). Supplementary post hoc comparisons showed gains of 21.72 points for S29 weaker-class recall (95% CI 17.72–25.71) and 13.82 points for S60 CSP weaker-class recall (95% CI 9.20–18.45). Descriptively, at the common epoch-20 checkpoint, S60−S9 weaker-class gains were 17.07 and 24.87 points for broadband and shared-view models, respectively. An algebraic decomposition showed the mean absolute class-recall gap decreasing from 62.01 to 31.38 points in the primary broadband comparison. A common 18-channel dimensionless transform, source-only checkpoint choices and participant-level predictions connect the design to independently reconstructed statistics. The exploratory external findings identify source-cohort expansion as an effective configuration change for improving two-class coverage under a fixed full-trajectory update budget. The principal advance is a quantified source-design strategy supported by duration-matched controls, two decoding approaches and a reproducible selection-to-prediction record.</w:t>
      </w:r>
    </w:p>
    <w:p>
      <w:pPr>
        <w:pStyle w:val="Heading1"/>
      </w:pPr>
      <w:r>
        <w:rPr/>
        <w:t>Introduction</w:t>
      </w:r>
    </w:p>
    <w:p>
      <w:r>
        <w:rPr/>
        <w:t>Source-cohort design offers a direct route to better cross-subject motor-imagery EEG decoding. In this study, adding a second acquisition cohort to nine BNCI source participants increased external weaker-class recall by 21.17 percentage points and balanced accuracy by 5.85 points, with weaker-class improvement in 72 of 85 evaluated participants. At a common 20-epoch checkpoint, the broadband and shared-view S60 configurations also increased weaker-class recall by 17.07 and 24.87 points, respectively. This addresses a practical problem: a two-command decoder should recognize both intended classes, whereas a cohort-average classification score can conceal poor recognition of one command. EEG classification reviews and reproducible cross-dataset benchmarks provide the methodological foundation for examining this problem at the participant level [1,2].</w:t>
      </w:r>
    </w:p>
    <w:p>
      <w:r>
        <w:rPr/>
        <w:t>Our contribution is an empirical source-design strategy with five linked components: a three-level source-expansion comparison under 5,120-update full neural trajectories; equal-duration checkpoint controls that compare the same 2,560 selected updates; joint assessment of balanced accuracy, weaker-class recall and individual changes; common-channel, trial-wise dimensionless processing across acquisition cohorts; and a reproducible chain from held-out source curves to frozen checkpoints and external predictions. Supplementary comparisons quantify the improvement already observed with the fixed 20-person Yang subset and its occurrence in a conventional spatial-filtering pipeline. Together, these components connect a concrete performance improvement to its source composition, class-coverage profile and reproducible implementation.</w:t>
      </w:r>
    </w:p>
    <w:p>
      <w:r>
        <w:rPr/>
        <w:t>Recent domain-generalization methods learn transferable EEG representations through contrastive regularization, marginal and conditional alignment, and latent-distribution exploration with feature fusion [3–5]. Source-population design complements these algorithmic approaches: the training population determines which variations are represented, and checkpoint selection determines which learned state is deployed.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Here we evaluate the resulting source-design choices with a fixed primary comparison, complete condition tables and participant-paired inference.</w:t>
      </w:r>
    </w:p>
    <w:p>
      <w:r>
        <w:rPr/>
        <w:t>The smaller of the two class recalls measures coverage of the less-recognized command within each person. Combined with balanced accuracy, it also yields an interpretable decomposition of class asymmetry. This endpoint makes the operational profile of a decoder visible without relying solely on its average score. We use an established EEGNet backbone [10] and a conventional common-spatial-pattern (CSP) pipeline [11] to examine source expansion across two different decoding approaches. The central question is how adding Yang recordings to a BNCI source pool changes external two-class coverage while full-trajectory optimization updates remain fixed.</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The invariant concerns a common trial-wide scale factor. Yang's native header declared </w:t>
      </w:r>
      <w:r>
        <w:rPr>
          <w:rFonts w:ascii="DejaVu Sans Mono" w:hAnsi="DejaVu Sans Mono"/>
          <w:sz w:val="20"/>
        </w:rPr>
        <w:t>?V</w:t>
      </w:r>
      <w:r>
        <w:rPr/>
        <w:t>; the audited native numerical calibration was retained in its recorded unit convention.</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The seed-specific metric is the averaging input in every reported comparison. The inferential unit was the participant, n=85. The inferential sample consists of 85 participant pairs.</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Prespecification refers to the archived study configuration, not an external preregistration. Statistical uncertainty is conditional on the fitted trajectories and three-seed participant averages.</w:t>
      </w:r>
    </w:p>
    <w:p>
      <w:r>
        <w:rPr/>
        <w:t>The supplied second-round report also motivated four supplementary post hoc contrasts: S29−S9 under BROAD/tail-recall on weaker-class recall and balanced accuracy, and S60−S9 under fixed CSP–LDA on the same two endpoints. A written analysis specification was saved before calculation, after outcomes were already known.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w:t>
      </w:r>
    </w:p>
    <w:p>
      <w:pPr>
        <w:pStyle w:val="Heading2"/>
      </w:pPr>
      <w:r>
        <w:rPr/>
        <w:t>Research ethics and access scope</w:t>
      </w:r>
    </w:p>
    <w:p>
      <w:r>
        <w:rPr/>
        <w:t>The research administration office of Chongqing Medical University confirmed on 17 October 2026 that this secondary analysis of public BNCI, Yang and Dreyer EEG data was exempt from ethics review under Article 32(1) of the 2023 Measures for the Ethical Review of Life Science and Medical Research Involving Human Participants. The date, office, basis and dataset coverage were confirmed by the author for this manuscript. The study used provider participant codes and basic metadata, with no recruitment, intervention or access to a direct identity-linkage key. Original collection procedures and consent information remain attributed to the respective provider records [12–17]. S1 Appendix records the secondary-use determination and original-data provenance separately.</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No scientific experiment was rerun for this manuscript revision. Fig 1 summarizes the design and evidence flow.</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w:t>
      </w:r>
    </w:p>
    <w:p>
      <w:pPr>
        <w:pStyle w:val="Heading1"/>
      </w:pPr>
      <w:r>
        <w:rPr/>
        <w:t>Results</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These counts describe saved evaluations, not independent training replicates.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p=8.8841×10⁻¹⁷). The paired-bootstrap interval was 17.1468–24.9512 points (Table 2; Fig 2). Descriptively, 72 participants improved, ten declined and three were unchanged; the median paired increase was 21.6667 points. Fig 3 displays all 85 paired changes.</w:t>
      </w:r>
    </w:p>
    <w:p>
      <w:r>
        <w:rPr/>
        <w:t>Balanced accuracy increased from 58.3186% to 64.1716%, a difference of +5.8529 points (95% t CI, 4.1288–7.5771; Holm-adjusted p=5.3414×10⁻⁹). The paired changes show improvement in both average discrimination and coverage of the less-recognized command.</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Unadjusted intervals are not simultaneous confidence intervals.</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8.8841×10⁻¹⁷</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1.7805×10⁻⁹</w:t>
            </w:r>
          </w:p>
        </w:tc>
        <w:tc>
          <w:tcPr>
            <w:tcW w:type="dxa" w:w="1352"/>
            <w:vAlign w:val="center"/>
          </w:tcPr>
          <w:p>
            <w:pPr>
              <w:spacing w:line="264" w:lineRule="auto" w:before="60" w:after="60"/>
            </w:pPr>
            <w:r>
              <w:rPr>
                <w:sz w:val="20"/>
              </w:rPr>
              <w:t>5.3414×10⁻⁹</w:t>
            </w:r>
          </w:p>
        </w:tc>
      </w:tr>
    </w:tbl>
    <w:p/>
    <w:p>
      <w:pPr>
        <w:pStyle w:val="Heading2"/>
      </w:pPr>
      <w:r>
        <w:rPr/>
        <w:t>Pipeline profiles and descriptive class-recall decomposition</w:t>
      </w:r>
    </w:p>
    <w:p>
      <w:r>
        <w:rPr/>
        <w:t>Table 3 and Fig 4 show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The full source-only epoch inventory is displayed in Fig 5.</w:t>
      </w:r>
    </w:p>
    <w:p>
      <w:r>
        <w:rPr/>
        <w:t>The supplementary algebraic decomposition gave a mean absolute class-recall gap of 62.0098 points for S9/BROAD and 31.3824 points for S60/BROAD, a descriptive reduction of 30.6275 points. The reduction follows directly from twice the difference between the corresponding balanced accuracy and weaker-class recall, making the recovery of two-class coverage explicit.</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p=5.5300×10⁻¹⁷).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p=6.3276×10⁻⁸). Balanced accuracy increased by +5.2451 points (95% t CI, 3.5345–6.9557). The shared direction across a compact neural decoder and a spatial-filtering decoder makes source-cohort design a useful empirical performance lever across the two evaluated approaches (Table 4; Fig 6).</w:t>
      </w:r>
    </w:p>
    <w:p>
      <w:r>
        <w:rPr>
          <w:b/>
        </w:rPr>
        <w:t>Table 4. Supplementary post hoc source-expansion comparisons requested during manuscript review.</w:t>
      </w:r>
      <w:r>
        <w:rPr/>
        <w:t xml:space="preserve"> All rows use 85 participant pairs and archived three-seed participant means. Confidence intervals are pointwise; the four p values form a separate Holm family. These analyses were specified after outcomes were known and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5.5300×10⁻¹⁷</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2.6111×10⁻⁹</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6.3276×10⁻⁸</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6.3276×10⁻⁸</w:t>
            </w:r>
          </w:p>
        </w:tc>
      </w:tr>
    </w:tbl>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 All 24 seed-specific expansion-by-pipeline-by-endpoint differences were positive across the three final seeds (Fig 7). These are descriptive summaries within the same 85-person external cohort.</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 checks connect recorded input identities, source selections and saved-prediction statistics. Complete numerical sources for the tables and figures accompany the manuscript; S1 Appendix details the scope of each evidence layer.</w:t>
      </w:r>
    </w:p>
    <w:p>
      <w:r>
        <w:rPr/>
        <w:t>Across the complete selection-rule inventory, seven of eight rules gave positive mean changes for each neural pipeline, expansion and endpoint; tail cross-entropy was the exception. The original S60−S29 and selector contrasts had intervals spanning zero (Table 2); full results remain in S1 Data.</w:t>
      </w:r>
    </w:p>
    <w:p>
      <w:pPr>
        <w:pStyle w:val="Heading1"/>
      </w:pPr>
      <w:r>
        <w:rPr/>
        <w:t>Discussion</w:t>
      </w:r>
    </w:p>
    <w:p>
      <w:pPr>
        <w:pStyle w:val="Heading2"/>
      </w:pPr>
      <w:r>
        <w:rPr/>
        <w:t>Source-cohort design improves two-command coverage</w:t>
      </w:r>
    </w:p>
    <w:p>
      <w:r>
        <w:rPr/>
        <w:t>Adding the Yang acquisition cohort to the nine-person BNCI source pool improved external weaker-class recall by 21.17 points in the primary broadband configuration. The corresponding 5.85-point balanced-accuracy gain and improvement in 72 participants show that the configuration change affected both average discrimination and recognition of the less-recognized command. This is an actionable design finding for cross-subject decoding: source composition deserves explicit evaluation alongside decoder architecture and checkpoint-selection policy.</w:t>
      </w:r>
    </w:p>
    <w:p>
      <w:r>
        <w:rPr/>
        <w:t>The full neural trajectories received 5,120 updates at every source level. When Yang was added, the sampler assigned it half of the dataset mass, reducing BNCI's sampling mass from one to one-half. The gain therefore accompanied broader acquisition diversity within the same full-trajectory update allocation. The common epoch-20 controls strengthen this interpretation: improvement remained present when selected duration was also held constant within each pipeline. This is an important practical distinction between the source-design contribution and checkpoint-duration selection.</w:t>
      </w:r>
    </w:p>
    <w:p>
      <w:pPr>
        <w:pStyle w:val="Heading2"/>
      </w:pPr>
      <w:r>
        <w:rPr/>
        <w:t>Gains observed in the intermediate pool and two decoder families</w:t>
      </w:r>
    </w:p>
    <w:p>
      <w:r>
        <w:rPr/>
        <w:t>The fixed intermediate pool reached 49.03% weaker-class recall, with a supplementary S29−S9 estimate of +21.72 points. This makes the S29 configuration a concrete, reproducible example of effective source expansion. Reporting its composition, counts and source-selected epoch allows subsequent work to examine how much additional acquisition diversity is useful in other populations. The S29 and S60 means locate the main observed gain between the BNCI-only and mixed-source configurations.</w:t>
      </w:r>
    </w:p>
    <w:p>
      <w:r>
        <w:rPr/>
        <w:t>The conventional CSP–LDA decoder gained 13.82 points on weaker-class recall and 5.25 points on balanced accuracy from S9 to S60. Source-expansion improvement was therefore observed in both the neural and conventional approaches evaluated here. Large-scale MOABB benchmarking likewise identifies training-data availability and strong conventional approaches as relevant to decoder comparisons [21]. The fixed20 seed profiles add a complementary consistency check: all three fitted seeds showed the same positive direction in both neural pipelines and both endpoints. The S60 endpoint profiles were also informative: CSP had higher mean balanced accuracy, while BROAD/tail-recall had slightly higher weaker-class recall. Joint reporting directs attention to useful class coverage across decoding approaches instead of making architecture ranking the centre of the study.</w:t>
      </w:r>
    </w:p>
    <w:p>
      <w:pPr>
        <w:pStyle w:val="Heading2"/>
      </w:pPr>
      <w:r>
        <w:rPr/>
        <w:t>A measurable class-coverage improvement</w:t>
      </w:r>
    </w:p>
    <w:p>
      <w:r>
        <w:rPr/>
        <w:t>The identity B=W+|rL−rR|/2 separates two-class coverage from class asymmetry. In the primary comparison, the mean absolute left–right recall gap decreased by 30.63 points. This decomposition explains why weaker-class recall conveyed a larger numerical improvement than balanced accuracy: recognition of the less-recognized command improved while class asymmetry narrowed. All 85 paired changes and both endpoints remain visible, connecting the cohort result to individual operating profiles.</w:t>
      </w:r>
    </w:p>
    <w:p>
      <w:r>
        <w:rPr/>
        <w:t>The contribution complements domain-generalization representation learning [3–5] through explicit source-design and checkpoint-selection accounting. The common 18-channel processing contract and current-trial normalization give the cross-cohort comparison a reproducible numerical basis. Held-out source metrics, frozen choices and external participant predictions then link the design to the reported gains. This combination supplies a reusable evaluation pattern for assessing future source populations and decoding approaches.</w:t>
      </w:r>
    </w:p>
    <w:p>
      <w:pPr>
        <w:pStyle w:val="Heading2"/>
      </w:pPr>
      <w:r>
        <w:rPr/>
        <w:t>Scope and future evaluation</w:t>
      </w:r>
    </w:p>
    <w:p>
      <w:r>
        <w:rPr/>
        <w:t>The findings concern complete source configurations: cohort composition, trial availability, sampling frequency and selected duration varied together, with primary checkpoints at epochs 27/5/5 for S9/S29/S60. One fixed intermediate subset, one external acquisition programme and three final seeds define the current evidence; the conditional intervals support neither a universal 20-person threshold nor decoder-family equivalence. The Dreyer evaluation remains exploratory, Yang timing and absolute-voltage interpretation follow the documented conventions, and the task windows include feedback-related activity. Prospective source-subset variation and independent acquisition cohorts are the next tests of the observed source-design strategy; original historical analyses and their results remain separately archived.</w:t>
      </w:r>
    </w:p>
    <w:p>
      <w:pPr>
        <w:pStyle w:val="Heading1"/>
      </w:pPr>
      <w:r>
        <w:rPr/>
        <w:t>Conclusions</w:t>
      </w:r>
    </w:p>
    <w:p>
      <w:r>
        <w:rPr/>
        <w:t>Adding a second source acquisition cohort improved weaker-class recall by 21.17 percentage points and balanced accuracy by 5.85 points in the primary 85-person external comparison. The improvement also appeared at equal-duration checkpoints, in the fixed intermediate pool and in the conventional CSP decoder. Participant-level changes and the class-recall decomposition show that this improvement includes better recognition of the weaker command and reduced class asymmetry. The study provides a concrete source-design strategy, a common processing contract and a reproducible selection-to-prediction record for advancing cross-subject motor-imagery EEG decoding.</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pPr>
        <w:pStyle w:val="Heading1"/>
      </w:pPr>
      <w:r>
        <w:rPr/>
        <w:t>Figure captions</w:t>
      </w:r>
    </w:p>
    <w:p>
      <w:pPr>
        <w:pStyle w:val="Heading1"/>
      </w:pPr>
      <w:r>
        <w:rPr/>
        <w:t>Fig 1. Frozen source-expansion design and evidence flow.</w:t>
      </w:r>
    </w:p>
    <w:p>
      <w:r>
        <w:rPr>
          <w:b/>
        </w:rPr>
        <w:t>A</w:t>
      </w:r>
      <w:r>
        <w:rPr/>
        <w:t xml:space="preserve">, The nested source configurations contain nine BNCI2014-001 participants (S9), BNCI plus a fixed set of 20 Yang participants (S29), or BNCI plus all 51 eligible Yang participants (S60): 2,592, 14,590 and 33,183 eligible trials, respectively. </w:t>
      </w:r>
      <w:r>
        <w:rPr>
          <w:b/>
        </w:rPr>
        <w:t>B</w:t>
      </w:r>
      <w:r>
        <w:rPr/>
        <w:t xml:space="preserve">, One 18-channel processing recipe produces dimensionless spectral inputs using each trial's broadband root-mean-square amplitude. </w:t>
      </w:r>
      <w:r>
        <w:rPr>
          <w:b/>
        </w:rPr>
        <w:t>C</w:t>
      </w:r>
      <w:r>
        <w:rPr/>
        <w:t xml:space="preserve">, Five whole-participant validation folds and three seeds yield 90 trajectories and 48 source-only checkpoint choices. </w:t>
      </w:r>
      <w:r>
        <w:rPr>
          <w:b/>
        </w:rPr>
        <w:t>D</w:t>
      </w:r>
      <w:r>
        <w:rPr/>
        <w:t xml:space="preserve">, Three final seeds yield 18 complete trajectories at 5,120 updates each; S29/S60 assign half the training-sampling mass to each source cohort. The 144 selected outputs reuse 99 distinct checkpoints. </w:t>
      </w:r>
      <w:r>
        <w:rPr>
          <w:b/>
        </w:rPr>
        <w:t>E</w:t>
      </w:r>
      <w:r>
        <w:rPr/>
        <w:t xml:space="preserve">, Exploratory external scoring covers 85 Dreyer participants and 6,800 unique trials; event/class metadata determine eligibility and mapping, and ground-truth labels support scoring only. </w:t>
      </w:r>
      <w:r>
        <w:rPr>
          <w:b/>
        </w:rPr>
        <w:t>F</w:t>
      </w:r>
      <w:r>
        <w:rPr/>
        <w:t xml:space="preserve">, Source-integrity, selector-binding and saved-prediction arithmetic checks establish the archived evidence links; raw-signal reconstruction and checkpoint-forward replay fall outside this audit. Source data: </w:t>
      </w:r>
      <w:r>
        <w:rPr>
          <w:rFonts w:ascii="DejaVu Sans Mono" w:hAnsi="DejaVu Sans Mono"/>
          <w:sz w:val="20"/>
        </w:rPr>
        <w:t>figure_data/Fig1_source_configurations.csv</w:t>
      </w:r>
      <w:r>
        <w:rPr/>
        <w:t xml:space="preserve">; provenance: </w:t>
      </w:r>
      <w:r>
        <w:rPr>
          <w:rFonts w:ascii="DejaVu Sans Mono" w:hAnsi="DejaVu Sans Mono"/>
          <w:sz w:val="20"/>
        </w:rPr>
        <w:t>figure_data/SOURCE_PROVENANCE.json</w:t>
      </w:r>
      <w:r>
        <w:rPr/>
        <w:t>.</w:t>
      </w:r>
    </w:p>
    <w:p>
      <w:pPr>
        <w:pStyle w:val="Heading1"/>
      </w:pPr>
      <w:r>
        <w:rPr/>
        <w:t>Fig 2. All four frozen participant-paired external contrasts.</w:t>
      </w:r>
    </w:p>
    <w:p>
      <w:r>
        <w:rPr/>
        <w:t xml:space="preserve">The primary contrast (filled circle) shows the 21.17-percentage-point increase in weaker-class recall from S9 to S60 under BROAD/tail-weaker-class-recall selection. Open squares show all three frozen secondary contrasts, including selector and S60–S29 comparisons. Points average 85 participant-paired differences after within-participant averaging over three seeds. Horizontal bars are pointwise, unadjusted 95% </w:t>
      </w:r>
      <w:r>
        <w:rPr>
          <w:i/>
        </w:rPr>
        <w:t>t</w:t>
      </w:r>
      <w:r>
        <w:rPr/>
        <w:t xml:space="preserve"> confidence intervals conditional on the fitted trajectories. The primary </w:t>
      </w:r>
      <w:r>
        <w:rPr>
          <w:i/>
        </w:rPr>
        <w:t>p</w:t>
      </w:r>
      <w:r>
        <w:rPr/>
        <w:t xml:space="preserve"> value is unadjusted; the three secondary </w:t>
      </w:r>
      <w:r>
        <w:rPr>
          <w:i/>
        </w:rPr>
        <w:t>p</w:t>
      </w:r>
      <w:r>
        <w:rPr/>
        <w:t xml:space="preserve"> values form one Holm-adjusted family. Source data: </w:t>
      </w:r>
      <w:r>
        <w:rPr>
          <w:rFonts w:ascii="DejaVu Sans Mono" w:hAnsi="DejaVu Sans Mono"/>
          <w:sz w:val="20"/>
        </w:rPr>
        <w:t>figure_data/neural_recomputed_comparisons.csv</w:t>
      </w:r>
      <w:r>
        <w:rPr/>
        <w:t>.</w:t>
      </w:r>
    </w:p>
    <w:p>
      <w:pPr>
        <w:pStyle w:val="Heading1"/>
      </w:pPr>
      <w:r>
        <w:rPr/>
        <w:t>Fig 3. Participant-level improvement in weaker-class recall.</w:t>
      </w:r>
    </w:p>
    <w:p>
      <w:r>
        <w:rPr/>
        <w:t xml:space="preserve">Weaker-class recall increases for 72 of 85 Dreyer participants under the S60 versus S9 BROAD comparison. Bars display every paired change in ascending order, including 10 declines and three unchanged observations (squares). The dashed line marks the frozen mean increase of 21.17 percentage points. Metrics are calculated within seed and then averaged across three seeds for each participant. This descriptive display retains original participant identifiers and plot order in </w:t>
      </w:r>
      <w:r>
        <w:rPr>
          <w:rFonts w:ascii="DejaVu Sans Mono" w:hAnsi="DejaVu Sans Mono"/>
          <w:sz w:val="20"/>
        </w:rPr>
        <w:t>figure_data/Fig3_primary_participant_changes.csv</w:t>
      </w:r>
      <w:r>
        <w:rPr/>
        <w:t>.</w:t>
      </w:r>
    </w:p>
    <w:p>
      <w:pPr>
        <w:pStyle w:val="Heading1"/>
      </w:pPr>
      <w:r>
        <w:rPr/>
        <w:t>Fig 4. External class coverage and balanced accuracy across source configurations.</w:t>
      </w:r>
    </w:p>
    <w:p>
      <w:r>
        <w:rPr>
          <w:b/>
        </w:rPr>
        <w:t>A</w:t>
      </w:r>
      <w:r>
        <w:rPr/>
        <w:t xml:space="preserve">, Balanced accuracy; </w:t>
      </w:r>
      <w:r>
        <w:rPr>
          <w:b/>
        </w:rPr>
        <w:t>B</w:t>
      </w:r>
      <w:r>
        <w:rPr/>
        <w:t xml:space="preserve">, weaker-class recall; </w:t>
      </w:r>
      <w:r>
        <w:rPr>
          <w:b/>
        </w:rPr>
        <w:t>C</w:t>
      </w:r>
      <w:r>
        <w:rPr/>
        <w:t xml:space="preserve">, mean absolute left–right recall gap. BROAD and shared μ/β use source-only tail-weaker-class-recall selection; CSP with shrinkage LDA uses its fixed configuration. A/B show participant means and stored pointwise 95% </w:t>
      </w:r>
      <w:r>
        <w:rPr>
          <w:i/>
        </w:rPr>
        <w:t>t</w:t>
      </w:r>
      <w:r>
        <w:rPr/>
        <w:t xml:space="preserve"> intervals (</w:t>
      </w:r>
      <w:r>
        <w:rPr>
          <w:i/>
        </w:rPr>
        <w:t>n</w:t>
      </w:r>
      <w:r>
        <w:rPr/>
        <w:t xml:space="preserve"> = 85). Source expansion raises weaker-class recall while reducing recall imbalance: for BROAD, the mean gap falls from 62.01 percentage points at S9 to 31.38 at S60, with similar means at S29 and S60. Panel C is a post hoc descriptive decomposition, </w:t>
      </w:r>
      <w:r>
        <w:rPr>
          <w:rFonts w:ascii="DejaVu Sans Mono" w:hAnsi="DejaVu Sans Mono"/>
          <w:sz w:val="20"/>
        </w:rPr>
        <w:t>2 × (balanced accuracy − weaker-class recall)</w:t>
      </w:r>
      <w:r>
        <w:rPr/>
        <w:t xml:space="preserve">, calculated within seed and preserved by averaging; no extra interval or test is introduced. The comparison retains all three pipelines and concerns complete source configurations, including their selected checkpoints.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pPr>
        <w:pStyle w:val="Heading1"/>
      </w:pPr>
      <w:r>
        <w:rPr/>
        <w:t>Fig 5. All 48 frozen source-only checkpoint selections.</w:t>
      </w:r>
    </w:p>
    <w:p>
      <w:r>
        <w:rPr/>
        <w:t xml:space="preserve">The matrix retains all eight selection rules across three source configurations and two pipelines. Numbers and shading encode source-selected epoch; the same epoch is applied to the three final seeds. The primary BROAD rule selects epochs 27, 5 and 5 for S9, S29 and S60 (outlined cells). Each complete trajectory used 40 epochs × 128 updates = 5,120 optimizer updates; evaluation uses the rule-specific checkpoint duration. Source data: </w:t>
      </w:r>
      <w:r>
        <w:rPr>
          <w:rFonts w:ascii="DejaVu Sans Mono" w:hAnsi="DejaVu Sans Mono"/>
          <w:sz w:val="20"/>
        </w:rPr>
        <w:t>figure_data/Fig5_selected_epochs.csv</w:t>
      </w:r>
      <w:r>
        <w:rPr/>
        <w:t xml:space="preserve">, matched to the frozen </w:t>
      </w:r>
      <w:r>
        <w:rPr>
          <w:rFonts w:ascii="DejaVu Sans Mono" w:hAnsi="DejaVu Sans Mono"/>
          <w:sz w:val="20"/>
        </w:rPr>
        <w:t>selection_freeze.json</w:t>
      </w:r>
      <w:r>
        <w:rPr/>
        <w:t>.</w:t>
      </w:r>
    </w:p>
    <w:p>
      <w:pPr>
        <w:pStyle w:val="Heading1"/>
      </w:pPr>
      <w:r>
        <w:rPr/>
        <w:t>Fig 6. Source-expansion gains in the additional paired analyses.</w:t>
      </w:r>
    </w:p>
    <w:p>
      <w:r>
        <w:rPr/>
        <w:t xml:space="preserve">The additional S29–S9 BROAD comparison shows increases of 21.72 percentage points in weaker-class recall and 5.79 points in balanced accuracy. Within CSP with shrinkage LDA, S60–S9 gains are 13.82 and 5.25 points, respectively. These four comparisons were defined for this post hoc review after the original outcomes were known, then calculated together without changing selection rules or fitted models. Each contrast uses the same 85 participants and three-seed within-participant averages. Horizontal bars are pointwise, unadjusted 95% </w:t>
      </w:r>
      <w:r>
        <w:rPr>
          <w:i/>
        </w:rPr>
        <w:t>t</w:t>
      </w:r>
      <w:r>
        <w:rPr/>
        <w:t xml:space="preserve"> intervals conditional on the fitted models; the four displayed </w:t>
      </w:r>
      <w:r>
        <w:rPr>
          <w:i/>
        </w:rPr>
        <w:t>p</w:t>
      </w:r>
      <w:r>
        <w:rPr/>
        <w:t xml:space="preserve"> values form a separate Holm-adjusted family. The original frozen primary and secondary comparisons remain unchanged. Source data: </w:t>
      </w:r>
      <w:r>
        <w:rPr>
          <w:rFonts w:ascii="DejaVu Sans Mono" w:hAnsi="DejaVu Sans Mono"/>
          <w:sz w:val="20"/>
        </w:rPr>
        <w:t>figure_data/Fig6_review2_posthoc_comparisons.csv</w:t>
      </w:r>
      <w:r>
        <w:rPr/>
        <w:t>.</w:t>
      </w:r>
    </w:p>
    <w:p>
      <w:pPr>
        <w:pStyle w:val="Heading1"/>
      </w:pPr>
      <w:r>
        <w:rPr/>
        <w:t>Fig 7. Source-expansion gains at a common 20-epoch checkpoint.</w:t>
      </w:r>
    </w:p>
    <w:p>
      <w:r>
        <w:rPr/>
        <w:t>At the fixed20 checkpoint, every displayed source expansion improves both balanced accuracy (</w:t>
      </w:r>
      <w:r>
        <w:rPr>
          <w:b/>
        </w:rPr>
        <w:t>A</w:t>
      </w:r>
      <w:r>
        <w:rPr/>
        <w:t>) and weaker-class recall (</w:t>
      </w:r>
      <w:r>
        <w:rPr>
          <w:b/>
        </w:rPr>
        <w:t>B</w:t>
      </w:r>
      <w:r>
        <w:rPr/>
        <w:t xml:space="preserve">) relative to S9. Bars show the three-seed mean paired difference for S29–S9 and S60–S9 under both BROAD and shared μ/β; numerical labels give the bar heights in percentage points. The 24 overlaid points show all three seed-specific cohort-mean differences, using the same 85 participants. All compared checkpoints represent 20 epochs and 2,560 optimizer updates, providing a common-duration descriptive control alongside source-selected comparisons. This post hoc display includes all eight fixed20 condition/endpoint combinations, rather than selecting the best checkpoint or seed; no additional interval or hypothesis test is introduced. Seed consistency is conditional on the same cohort and does not represent independent replication. The complete 68-row source-expansion inventory, including other selectors and negative differences, remains available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1"/>
      </w:pPr>
      <w:r>
        <w:rPr/>
        <w:t>Figure-preparation assistance</w:t>
      </w:r>
    </w:p>
    <w:p>
      <w:r>
        <w:rPr/>
        <w:t>ChatGPT assisted plotting-code development and revision of labels and captions. Figures were rendered from archived, audited numerical tables; Fig 4C is explicitly identified as a descriptive algebraic decomposition. The author is responsible for verification and final approval.</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p>
      <w:r>
        <w:br w:type="page"/>
      </w:r>
    </w:p>
    <w:p>
      <w:pPr>
        <w:jc w:val="center"/>
      </w:pPr>
      <w:r>
        <w:drawing>
          <wp:inline xmlns:a="http://schemas.openxmlformats.org/drawingml/2006/main" xmlns:pic="http://schemas.openxmlformats.org/drawingml/2006/picture">
            <wp:extent cx="5962015" cy="5479793"/>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962015" cy="5479793"/>
                    </a:xfrm>
                    <a:prstGeom prst="rect"/>
                  </pic:spPr>
                </pic:pic>
              </a:graphicData>
            </a:graphic>
          </wp:inline>
        </w:drawing>
      </w:r>
    </w:p>
    <w:p>
      <w:pPr>
        <w:spacing w:line="276" w:lineRule="auto"/>
      </w:pPr>
      <w:r>
        <w:rPr>
          <w:sz w:val="22"/>
        </w:rPr>
        <w:t xml:space="preserve">Fig 1. Frozen source-expansion design and evidence flow. </w:t>
      </w:r>
      <w:r>
        <w:rPr>
          <w:b/>
          <w:sz w:val="22"/>
        </w:rPr>
        <w:t>A</w:t>
      </w:r>
      <w:r>
        <w:rPr>
          <w:sz w:val="22"/>
        </w:rPr>
        <w:t xml:space="preserve">, The nested source configurations contain nine BNCI2014-001 participants (S9), BNCI plus a fixed set of 20 Yang participants (S29), or BNCI plus all 51 eligible Yang participants (S60): 2,592, 14,590 and 33,183 eligible trials, respectively. </w:t>
      </w:r>
      <w:r>
        <w:rPr>
          <w:b/>
          <w:sz w:val="22"/>
        </w:rPr>
        <w:t>B</w:t>
      </w:r>
      <w:r>
        <w:rPr>
          <w:sz w:val="22"/>
        </w:rPr>
        <w:t xml:space="preserve">, One 18-channel processing recipe produces dimensionless spectral inputs using each trial's broadband root-mean-square amplitude. </w:t>
      </w:r>
      <w:r>
        <w:rPr>
          <w:b/>
          <w:sz w:val="22"/>
        </w:rPr>
        <w:t>C</w:t>
      </w:r>
      <w:r>
        <w:rPr>
          <w:sz w:val="22"/>
        </w:rPr>
        <w:t xml:space="preserve">, Five whole-participant validation folds and three seeds yield 90 trajectories and 48 source-only checkpoint choices. </w:t>
      </w:r>
      <w:r>
        <w:rPr>
          <w:b/>
          <w:sz w:val="22"/>
        </w:rPr>
        <w:t>D</w:t>
      </w:r>
      <w:r>
        <w:rPr>
          <w:sz w:val="22"/>
        </w:rPr>
        <w:t xml:space="preserve">, Three final seeds yield 18 complete trajectories at 5,120 updates each; S29/S60 assign half the training-sampling mass to each source cohort. The 144 selected outputs reuse 99 distinct checkpoints. </w:t>
      </w:r>
      <w:r>
        <w:rPr>
          <w:b/>
          <w:sz w:val="22"/>
        </w:rPr>
        <w:t>E</w:t>
      </w:r>
      <w:r>
        <w:rPr>
          <w:sz w:val="22"/>
        </w:rPr>
        <w:t xml:space="preserve">, Exploratory external scoring covers 85 Dreyer participants and 6,800 unique trials; event/class metadata determine eligibility and mapping, and ground-truth labels support scoring only. </w:t>
      </w:r>
      <w:r>
        <w:rPr>
          <w:b/>
          <w:sz w:val="22"/>
        </w:rPr>
        <w:t>F</w:t>
      </w:r>
      <w:r>
        <w:rPr>
          <w:sz w:val="22"/>
        </w:rPr>
        <w:t xml:space="preserve">, Source-integrity, selector-binding and saved-prediction arithmetic checks establish the archived evidence links; raw-signal reconstruction and checkpoint-forward replay fall outside this audit. Source data: </w:t>
      </w:r>
      <w:r>
        <w:rPr>
          <w:rFonts w:ascii="DejaVu Sans Mono" w:hAnsi="DejaVu Sans Mono"/>
          <w:sz w:val="20"/>
        </w:rPr>
        <w:t>figure_data/Fig1_source_configurations.csv</w:t>
      </w:r>
      <w:r>
        <w:rPr>
          <w:sz w:val="22"/>
        </w:rPr>
        <w:t xml:space="preserve">; provenance: </w:t>
      </w:r>
      <w:r>
        <w:rPr>
          <w:rFonts w:ascii="DejaVu Sans Mono" w:hAnsi="DejaVu Sans Mono"/>
          <w:sz w:val="20"/>
        </w:rPr>
        <w:t>figure_data/SOURCE_PROVENANCE.json</w:t>
      </w:r>
      <w:r>
        <w:rPr>
          <w:sz w:val="22"/>
        </w:rPr>
        <w:t>.</w:t>
      </w:r>
    </w:p>
    <w:p>
      <w:r>
        <w:br w:type="page"/>
      </w:r>
    </w:p>
    <w:p>
      <w:pPr>
        <w:jc w:val="center"/>
      </w:pPr>
      <w:r>
        <w:drawing>
          <wp:inline xmlns:a="http://schemas.openxmlformats.org/drawingml/2006/main" xmlns:pic="http://schemas.openxmlformats.org/drawingml/2006/picture">
            <wp:extent cx="5962015" cy="3682421"/>
            <wp:docPr id="2" name="Picture 2"/>
            <wp:cNvGraphicFramePr>
              <a:graphicFrameLocks noChangeAspect="1"/>
            </wp:cNvGraphicFramePr>
            <a:graphic>
              <a:graphicData uri="http://schemas.openxmlformats.org/drawingml/2006/picture">
                <pic:pic>
                  <pic:nvPicPr>
                    <pic:cNvPr id="0" name="Fig2_frozen_contrasts.png"/>
                    <pic:cNvPicPr/>
                  </pic:nvPicPr>
                  <pic:blipFill>
                    <a:blip r:embed="rId11"/>
                    <a:stretch>
                      <a:fillRect/>
                    </a:stretch>
                  </pic:blipFill>
                  <pic:spPr>
                    <a:xfrm>
                      <a:off x="0" y="0"/>
                      <a:ext cx="5962015" cy="3682421"/>
                    </a:xfrm>
                    <a:prstGeom prst="rect"/>
                  </pic:spPr>
                </pic:pic>
              </a:graphicData>
            </a:graphic>
          </wp:inline>
        </w:drawing>
      </w:r>
    </w:p>
    <w:p>
      <w:pPr>
        <w:spacing w:line="276" w:lineRule="auto"/>
      </w:pPr>
      <w:r>
        <w:rPr>
          <w:sz w:val="22"/>
        </w:rPr>
        <w:t xml:space="preserve">Fig 2. All four frozen participant-paired external contrasts. The primary contrast (filled circle) shows the 21.17-percentage-point increase in weaker-class recall from S9 to S60 under BROAD/tail-weaker-class-recall selection. Open squares show all three frozen secondary contrasts, including selector and S60–S29 comparisons. Points average 85 participant-paired differences after within-participant averaging over three seeds. Horizontal bars are pointwise, unadjusted 95% </w:t>
      </w:r>
      <w:r>
        <w:rPr>
          <w:i/>
          <w:sz w:val="22"/>
        </w:rPr>
        <w:t>t</w:t>
      </w:r>
      <w:r>
        <w:rPr>
          <w:sz w:val="22"/>
        </w:rPr>
        <w:t xml:space="preserve"> confidence intervals conditional on the fitted trajectories. The primary </w:t>
      </w:r>
      <w:r>
        <w:rPr>
          <w:i/>
          <w:sz w:val="22"/>
        </w:rPr>
        <w:t>p</w:t>
      </w:r>
      <w:r>
        <w:rPr>
          <w:sz w:val="22"/>
        </w:rPr>
        <w:t xml:space="preserve"> value is unadjusted; the three secondary </w:t>
      </w:r>
      <w:r>
        <w:rPr>
          <w:i/>
          <w:sz w:val="22"/>
        </w:rPr>
        <w:t>p</w:t>
      </w:r>
      <w:r>
        <w:rPr>
          <w:sz w:val="22"/>
        </w:rPr>
        <w:t xml:space="preserve"> values form one Holm-adjusted family. Source data: </w:t>
      </w:r>
      <w:r>
        <w:rPr>
          <w:rFonts w:ascii="DejaVu Sans Mono" w:hAnsi="DejaVu Sans Mono"/>
          <w:sz w:val="20"/>
        </w:rPr>
        <w:t>figure_data/neural_recomputed_comparisons.csv</w:t>
      </w:r>
      <w:r>
        <w:rPr>
          <w:sz w:val="22"/>
        </w:rPr>
        <w:t>.</w:t>
      </w:r>
    </w:p>
    <w:p>
      <w:r>
        <w:br w:type="page"/>
      </w:r>
    </w:p>
    <w:p>
      <w:pPr>
        <w:jc w:val="center"/>
      </w:pPr>
      <w:r>
        <w:drawing>
          <wp:inline xmlns:a="http://schemas.openxmlformats.org/drawingml/2006/main" xmlns:pic="http://schemas.openxmlformats.org/drawingml/2006/picture">
            <wp:extent cx="5962015" cy="3375553"/>
            <wp:docPr id="3" name="Picture 3"/>
            <wp:cNvGraphicFramePr>
              <a:graphicFrameLocks noChangeAspect="1"/>
            </wp:cNvGraphicFramePr>
            <a:graphic>
              <a:graphicData uri="http://schemas.openxmlformats.org/drawingml/2006/picture">
                <pic:pic>
                  <pic:nvPicPr>
                    <pic:cNvPr id="0" name="Fig3_participant_changes.png"/>
                    <pic:cNvPicPr/>
                  </pic:nvPicPr>
                  <pic:blipFill>
                    <a:blip r:embed="rId12"/>
                    <a:stretch>
                      <a:fillRect/>
                    </a:stretch>
                  </pic:blipFill>
                  <pic:spPr>
                    <a:xfrm>
                      <a:off x="0" y="0"/>
                      <a:ext cx="5962015" cy="3375553"/>
                    </a:xfrm>
                    <a:prstGeom prst="rect"/>
                  </pic:spPr>
                </pic:pic>
              </a:graphicData>
            </a:graphic>
          </wp:inline>
        </w:drawing>
      </w:r>
    </w:p>
    <w:p>
      <w:pPr>
        <w:spacing w:line="276" w:lineRule="auto"/>
      </w:pPr>
      <w:r>
        <w:rPr>
          <w:sz w:val="22"/>
        </w:rPr>
        <w:t xml:space="preserve">Fig 3. Participant-level improvement in weaker-class recall. Weaker-class recall increases for 72 of 85 Dreyer participants under the S60 versus S9 BROAD comparison. Bars display every paired change in ascending order, including 10 declines and three unchanged observations (squares). The dashed line marks the frozen mean increase of 21.17 percentage points. Metrics are calculated within seed and then averaged across three seeds for each participant. This descriptive display retains original participant identifiers and plot order in </w:t>
      </w:r>
      <w:r>
        <w:rPr>
          <w:rFonts w:ascii="DejaVu Sans Mono" w:hAnsi="DejaVu Sans Mono"/>
          <w:sz w:val="20"/>
        </w:rPr>
        <w:t>figure_data/Fig3_primary_participant_changes.csv</w:t>
      </w:r>
      <w:r>
        <w:rPr>
          <w:sz w:val="22"/>
        </w:rPr>
        <w:t>.</w:t>
      </w:r>
    </w:p>
    <w:p>
      <w:r>
        <w:br w:type="page"/>
      </w:r>
    </w:p>
    <w:p>
      <w:pPr>
        <w:jc w:val="center"/>
      </w:pPr>
      <w:r>
        <w:drawing>
          <wp:inline xmlns:a="http://schemas.openxmlformats.org/drawingml/2006/main" xmlns:pic="http://schemas.openxmlformats.org/drawingml/2006/picture">
            <wp:extent cx="5962015" cy="3594743"/>
            <wp:docPr id="4" name="Picture 4"/>
            <wp:cNvGraphicFramePr>
              <a:graphicFrameLocks noChangeAspect="1"/>
            </wp:cNvGraphicFramePr>
            <a:graphic>
              <a:graphicData uri="http://schemas.openxmlformats.org/drawingml/2006/picture">
                <pic:pic>
                  <pic:nvPicPr>
                    <pic:cNvPr id="0" name="Fig4_source_configurations.png"/>
                    <pic:cNvPicPr/>
                  </pic:nvPicPr>
                  <pic:blipFill>
                    <a:blip r:embed="rId13"/>
                    <a:stretch>
                      <a:fillRect/>
                    </a:stretch>
                  </pic:blipFill>
                  <pic:spPr>
                    <a:xfrm>
                      <a:off x="0" y="0"/>
                      <a:ext cx="5962015" cy="3594743"/>
                    </a:xfrm>
                    <a:prstGeom prst="rect"/>
                  </pic:spPr>
                </pic:pic>
              </a:graphicData>
            </a:graphic>
          </wp:inline>
        </w:drawing>
      </w:r>
    </w:p>
    <w:p>
      <w:pPr>
        <w:spacing w:line="276" w:lineRule="auto"/>
      </w:pPr>
      <w:r>
        <w:rPr>
          <w:sz w:val="22"/>
        </w:rPr>
        <w:t xml:space="preserve">Fig 4. External class coverage and balanced accuracy across source configurations. </w:t>
      </w:r>
      <w:r>
        <w:rPr>
          <w:b/>
          <w:sz w:val="22"/>
        </w:rPr>
        <w:t>A</w:t>
      </w:r>
      <w:r>
        <w:rPr>
          <w:sz w:val="22"/>
        </w:rPr>
        <w:t xml:space="preserve">, Balanced accuracy; </w:t>
      </w:r>
      <w:r>
        <w:rPr>
          <w:b/>
          <w:sz w:val="22"/>
        </w:rPr>
        <w:t>B</w:t>
      </w:r>
      <w:r>
        <w:rPr>
          <w:sz w:val="22"/>
        </w:rPr>
        <w:t xml:space="preserve">, weaker-class recall; </w:t>
      </w:r>
      <w:r>
        <w:rPr>
          <w:b/>
          <w:sz w:val="22"/>
        </w:rPr>
        <w:t>C</w:t>
      </w:r>
      <w:r>
        <w:rPr>
          <w:sz w:val="22"/>
        </w:rPr>
        <w:t xml:space="preserve">, mean absolute left–right recall gap. BROAD and shared μ/β use source-only tail-weaker-class-recall selection; CSP with shrinkage LDA uses its fixed configuration. A/B show participant means and stored pointwise 95% </w:t>
      </w:r>
      <w:r>
        <w:rPr>
          <w:i/>
          <w:sz w:val="22"/>
        </w:rPr>
        <w:t>t</w:t>
      </w:r>
      <w:r>
        <w:rPr>
          <w:sz w:val="22"/>
        </w:rPr>
        <w:t xml:space="preserve"> intervals (</w:t>
      </w:r>
      <w:r>
        <w:rPr>
          <w:i/>
          <w:sz w:val="22"/>
        </w:rPr>
        <w:t>n</w:t>
      </w:r>
      <w:r>
        <w:rPr>
          <w:sz w:val="22"/>
        </w:rPr>
        <w:t xml:space="preserve"> = 85). Source expansion raises weaker-class recall while reducing recall imbalance: for BROAD, the mean gap falls from 62.01 percentage points at S9 to 31.38 at S60, with similar means at S29 and S60. Panel C is a post hoc descriptive decomposition, </w:t>
      </w:r>
      <w:r>
        <w:rPr>
          <w:rFonts w:ascii="DejaVu Sans Mono" w:hAnsi="DejaVu Sans Mono"/>
          <w:sz w:val="20"/>
        </w:rPr>
        <w:t>2 × (balanced accuracy − weaker-class recall)</w:t>
      </w:r>
      <w:r>
        <w:rPr>
          <w:sz w:val="22"/>
        </w:rPr>
        <w:t xml:space="preserve">, calculated within seed and preserved by averaging; no extra interval or test is introduced. The comparison retains all three pipelines and concerns complete source configurations, including their selected checkpoints. Lines guide the eye. Source data: </w:t>
      </w:r>
      <w:r>
        <w:rPr>
          <w:rFonts w:ascii="DejaVu Sans Mono" w:hAnsi="DejaVu Sans Mono"/>
          <w:sz w:val="20"/>
        </w:rPr>
        <w:t>figure_data/Fig4_descriptive_endpoints.csv</w:t>
      </w:r>
      <w:r>
        <w:rPr>
          <w:sz w:val="22"/>
        </w:rPr>
        <w:t xml:space="preserve"> and </w:t>
      </w:r>
      <w:r>
        <w:rPr>
          <w:rFonts w:ascii="DejaVu Sans Mono" w:hAnsi="DejaVu Sans Mono"/>
          <w:sz w:val="20"/>
        </w:rPr>
        <w:t>figure_data/Fig4_posthoc_absolute_recall_gap.csv</w:t>
      </w:r>
      <w:r>
        <w:rPr>
          <w:sz w:val="22"/>
        </w:rPr>
        <w:t>.</w:t>
      </w:r>
    </w:p>
    <w:p>
      <w:r>
        <w:br w:type="page"/>
      </w:r>
    </w:p>
    <w:p>
      <w:pPr>
        <w:jc w:val="center"/>
      </w:pPr>
      <w:r>
        <w:drawing>
          <wp:inline xmlns:a="http://schemas.openxmlformats.org/drawingml/2006/main" xmlns:pic="http://schemas.openxmlformats.org/drawingml/2006/picture">
            <wp:extent cx="5962015" cy="3989289"/>
            <wp:docPr id="5" name="Picture 5"/>
            <wp:cNvGraphicFramePr>
              <a:graphicFrameLocks noChangeAspect="1"/>
            </wp:cNvGraphicFramePr>
            <a:graphic>
              <a:graphicData uri="http://schemas.openxmlformats.org/drawingml/2006/picture">
                <pic:pic>
                  <pic:nvPicPr>
                    <pic:cNvPr id="0" name="Fig5_selected_epochs.png"/>
                    <pic:cNvPicPr/>
                  </pic:nvPicPr>
                  <pic:blipFill>
                    <a:blip r:embed="rId14"/>
                    <a:stretch>
                      <a:fillRect/>
                    </a:stretch>
                  </pic:blipFill>
                  <pic:spPr>
                    <a:xfrm>
                      <a:off x="0" y="0"/>
                      <a:ext cx="5962015" cy="3989289"/>
                    </a:xfrm>
                    <a:prstGeom prst="rect"/>
                  </pic:spPr>
                </pic:pic>
              </a:graphicData>
            </a:graphic>
          </wp:inline>
        </w:drawing>
      </w:r>
    </w:p>
    <w:p>
      <w:pPr>
        <w:spacing w:line="276" w:lineRule="auto"/>
      </w:pPr>
      <w:r>
        <w:rPr>
          <w:sz w:val="22"/>
        </w:rPr>
        <w:t xml:space="preserve">Fig 5. All 48 frozen source-only checkpoint selections. The matrix retains all eight selection rules across three source configurations and two pipelines. Numbers and shading encode source-selected epoch; the same epoch is applied to the three final seeds. The primary BROAD rule selects epochs 27, 5 and 5 for S9, S29 and S60 (outlined cells). Each complete trajectory used 40 epochs × 128 updates = 5,120 optimizer updates; evaluation uses the rule-specific checkpoint duration. Source data: </w:t>
      </w:r>
      <w:r>
        <w:rPr>
          <w:rFonts w:ascii="DejaVu Sans Mono" w:hAnsi="DejaVu Sans Mono"/>
          <w:sz w:val="20"/>
        </w:rPr>
        <w:t>figure_data/Fig5_selected_epochs.csv</w:t>
      </w:r>
      <w:r>
        <w:rPr>
          <w:sz w:val="22"/>
        </w:rPr>
        <w:t xml:space="preserve">, matched to the frozen </w:t>
      </w:r>
      <w:r>
        <w:rPr>
          <w:rFonts w:ascii="DejaVu Sans Mono" w:hAnsi="DejaVu Sans Mono"/>
          <w:sz w:val="20"/>
        </w:rPr>
        <w:t>selection_freeze.json</w:t>
      </w:r>
      <w:r>
        <w:rPr>
          <w:sz w:val="22"/>
        </w:rPr>
        <w:t>.</w:t>
      </w:r>
    </w:p>
    <w:p>
      <w:r>
        <w:br w:type="page"/>
      </w:r>
    </w:p>
    <w:p>
      <w:pPr>
        <w:jc w:val="center"/>
      </w:pPr>
      <w:r>
        <w:drawing>
          <wp:inline xmlns:a="http://schemas.openxmlformats.org/drawingml/2006/main" xmlns:pic="http://schemas.openxmlformats.org/drawingml/2006/picture">
            <wp:extent cx="5962015" cy="3682421"/>
            <wp:docPr id="6" name="Picture 6"/>
            <wp:cNvGraphicFramePr>
              <a:graphicFrameLocks noChangeAspect="1"/>
            </wp:cNvGraphicFramePr>
            <a:graphic>
              <a:graphicData uri="http://schemas.openxmlformats.org/drawingml/2006/picture">
                <pic:pic>
                  <pic:nvPicPr>
                    <pic:cNvPr id="0" name="Fig6_posthoc_source_expansion.png"/>
                    <pic:cNvPicPr/>
                  </pic:nvPicPr>
                  <pic:blipFill>
                    <a:blip r:embed="rId15"/>
                    <a:stretch>
                      <a:fillRect/>
                    </a:stretch>
                  </pic:blipFill>
                  <pic:spPr>
                    <a:xfrm>
                      <a:off x="0" y="0"/>
                      <a:ext cx="5962015" cy="3682421"/>
                    </a:xfrm>
                    <a:prstGeom prst="rect"/>
                  </pic:spPr>
                </pic:pic>
              </a:graphicData>
            </a:graphic>
          </wp:inline>
        </w:drawing>
      </w:r>
    </w:p>
    <w:p>
      <w:pPr>
        <w:spacing w:line="276" w:lineRule="auto"/>
      </w:pPr>
      <w:r>
        <w:rPr>
          <w:sz w:val="22"/>
        </w:rPr>
        <w:t xml:space="preserve">Fig 6. Source-expansion gains in the additional paired analyses. The additional S29–S9 BROAD comparison shows increases of 21.72 percentage points in weaker-class recall and 5.79 points in balanced accuracy. Within CSP with shrinkage LDA, S60–S9 gains are 13.82 and 5.25 points, respectively. These four comparisons were defined for this post hoc review after the original outcomes were known, then calculated together without changing selection rules or fitted models. Each contrast uses the same 85 participants and three-seed within-participant averages. Horizontal bars are pointwise, unadjusted 95% </w:t>
      </w:r>
      <w:r>
        <w:rPr>
          <w:i/>
          <w:sz w:val="22"/>
        </w:rPr>
        <w:t>t</w:t>
      </w:r>
      <w:r>
        <w:rPr>
          <w:sz w:val="22"/>
        </w:rPr>
        <w:t xml:space="preserve"> intervals conditional on the fitted models; the four displayed </w:t>
      </w:r>
      <w:r>
        <w:rPr>
          <w:i/>
          <w:sz w:val="22"/>
        </w:rPr>
        <w:t>p</w:t>
      </w:r>
      <w:r>
        <w:rPr>
          <w:sz w:val="22"/>
        </w:rPr>
        <w:t xml:space="preserve"> values form a separate Holm-adjusted family. The original frozen primary and secondary comparisons remain unchanged. Source data: </w:t>
      </w:r>
      <w:r>
        <w:rPr>
          <w:rFonts w:ascii="DejaVu Sans Mono" w:hAnsi="DejaVu Sans Mono"/>
          <w:sz w:val="20"/>
        </w:rPr>
        <w:t>figure_data/Fig6_review2_posthoc_comparisons.csv</w:t>
      </w:r>
      <w:r>
        <w:rPr>
          <w:sz w:val="22"/>
        </w:rPr>
        <w:t>.</w:t>
      </w:r>
    </w:p>
    <w:p>
      <w:r>
        <w:br w:type="page"/>
      </w:r>
    </w:p>
    <w:p>
      <w:pPr>
        <w:jc w:val="center"/>
      </w:pPr>
      <w:r>
        <w:drawing>
          <wp:inline xmlns:a="http://schemas.openxmlformats.org/drawingml/2006/main" xmlns:pic="http://schemas.openxmlformats.org/drawingml/2006/picture">
            <wp:extent cx="5962015" cy="3682421"/>
            <wp:docPr id="7" name="Picture 7"/>
            <wp:cNvGraphicFramePr>
              <a:graphicFrameLocks noChangeAspect="1"/>
            </wp:cNvGraphicFramePr>
            <a:graphic>
              <a:graphicData uri="http://schemas.openxmlformats.org/drawingml/2006/picture">
                <pic:pic>
                  <pic:nvPicPr>
                    <pic:cNvPr id="0" name="Fig7_fixed_duration_control.png"/>
                    <pic:cNvPicPr/>
                  </pic:nvPicPr>
                  <pic:blipFill>
                    <a:blip r:embed="rId16"/>
                    <a:stretch>
                      <a:fillRect/>
                    </a:stretch>
                  </pic:blipFill>
                  <pic:spPr>
                    <a:xfrm>
                      <a:off x="0" y="0"/>
                      <a:ext cx="5962015" cy="3682421"/>
                    </a:xfrm>
                    <a:prstGeom prst="rect"/>
                  </pic:spPr>
                </pic:pic>
              </a:graphicData>
            </a:graphic>
          </wp:inline>
        </w:drawing>
      </w:r>
    </w:p>
    <w:p>
      <w:pPr>
        <w:spacing w:line="276" w:lineRule="auto"/>
      </w:pPr>
      <w:r>
        <w:rPr>
          <w:sz w:val="22"/>
        </w:rPr>
        <w:t>Fig 7. Source-expansion gains at a common 20-epoch checkpoint. At the fixed20 checkpoint, every displayed source expansion improves both balanced accuracy (</w:t>
      </w:r>
      <w:r>
        <w:rPr>
          <w:b/>
          <w:sz w:val="22"/>
        </w:rPr>
        <w:t>A</w:t>
      </w:r>
      <w:r>
        <w:rPr>
          <w:sz w:val="22"/>
        </w:rPr>
        <w:t>) and weaker-class recall (</w:t>
      </w:r>
      <w:r>
        <w:rPr>
          <w:b/>
          <w:sz w:val="22"/>
        </w:rPr>
        <w:t>B</w:t>
      </w:r>
      <w:r>
        <w:rPr>
          <w:sz w:val="22"/>
        </w:rPr>
        <w:t xml:space="preserve">) relative to S9. Bars show the three-seed mean paired difference for S29–S9 and S60–S9 under both BROAD and shared μ/β; numerical labels give the bar heights in percentage points. The 24 overlaid points show all three seed-specific cohort-mean differences, using the same 85 participants. All compared checkpoints represent 20 epochs and 2,560 optimizer updates, providing a common-duration descriptive control alongside source-selected comparisons. This post hoc display includes all eight fixed20 condition/endpoint combinations, rather than selecting the best checkpoint or seed; no additional interval or hypothesis test is introduced. Seed consistency is conditional on the same cohort and does not represent independent replication. The complete 68-row source-expansion inventory, including other selectors and negative differences, remains available in </w:t>
      </w:r>
      <w:r>
        <w:rPr>
          <w:rFonts w:ascii="DejaVu Sans Mono" w:hAnsi="DejaVu Sans Mono"/>
          <w:sz w:val="20"/>
        </w:rPr>
        <w:t>figure_​data/​Fig7_​complete_​source_​expansion_​inventory.csv</w:t>
      </w:r>
      <w:r>
        <w:rPr>
          <w:sz w:val="22"/>
        </w:rPr>
        <w:t xml:space="preserve">; seed data: </w:t>
      </w:r>
      <w:r>
        <w:rPr>
          <w:rFonts w:ascii="DejaVu Sans Mono" w:hAnsi="DejaVu Sans Mono"/>
          <w:sz w:val="20"/>
        </w:rPr>
        <w:t>figure_data/Fig7_fixed20_seed_differences.csv</w:t>
      </w:r>
      <w:r>
        <w:rPr>
          <w:sz w:val="22"/>
        </w:rPr>
        <w: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2026-10-18T06:18:39Z</dcterms:created>
  <dcterms:modified xsi:type="dcterms:W3CDTF">2026-10-18T06:18:39Z</dcterms:modified>
  <cp:category/>
</cp:coreProperties>
</file>