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S1 Appendix. Source expansion, class coverage and reproducibility</w:t>
      </w:r>
    </w:p>
    <w:p>
      <w:r>
        <w:rPr/>
        <w:t>Ziyuan Zhu</w:t>
      </w:r>
    </w:p>
    <w:p>
      <w:r>
        <w:rPr/>
        <w:t>Companion to “Source-cohort expansion and weaker-class coverage in cross-subject motor-imagery EEG decoding”.</w:t>
      </w:r>
    </w:p>
    <w:p>
      <w:pPr>
        <w:pStyle w:val="Heading1"/>
      </w:pPr>
      <w:r>
        <w:rPr/>
        <w:t>1. Scope of this manuscript revision</w:t>
      </w:r>
    </w:p>
    <w:p>
      <w:r>
        <w:rPr/>
        <w:t xml:space="preserve">The principal experiment is the completed 18-channel, dimensionless source-expansion run </w:t>
      </w:r>
      <w:r>
        <w:rPr>
          <w:rFonts w:ascii="DejaVu Sans Mono" w:hAnsi="DejaVu Sans Mono"/>
          <w:sz w:val="20"/>
        </w:rPr>
        <w:t>paper1_​source_​expansion_​18ch_​dimensionless_​eligible_​v3_​20261018</w:t>
      </w:r>
      <w:r>
        <w:rPr/>
        <w:t xml:space="preserve">. Its frozen results are at commit </w:t>
      </w:r>
      <w:r>
        <w:rPr>
          <w:rFonts w:ascii="DejaVu Sans Mono" w:hAnsi="DejaVu Sans Mono"/>
          <w:sz w:val="20"/>
        </w:rPr>
        <w:t>040956085499ed788948de0d5a09cddd9eabca56</w:t>
      </w:r>
      <w:r>
        <w:rPr/>
        <w:t>. This appendix supplements the main Methods; it does not introduce another training experiment, target inference pass or hypothesis-test family. Figures are rendered from archived tables, with a separately labelled algebraic description of the class-recall gap.</w:t>
      </w:r>
    </w:p>
    <w:p>
      <w:r>
        <w:rPr/>
        <w:t>Historical results remain in their original directories and Git history. The new experiment differs from earlier 19/21/22-channel and four-class protocols in its montage, normalization, sources, endpoint and selection design. Their values are not pooled into the new external estimate. The earlier submission materials remain historical artifacts, rather than components of the current submission package.</w:t>
      </w:r>
    </w:p>
    <w:p>
      <w:pPr>
        <w:pStyle w:val="Heading1"/>
      </w:pPr>
      <w:r>
        <w:rPr/>
        <w:t>2. Source registry and native eligibility</w:t>
      </w:r>
    </w:p>
    <w:p>
      <w:r>
        <w:rPr/>
        <w:t xml:space="preserve">The source registry fixes BNCI participants 1–9 and Yang participants 1–51. The S29 Yang subset contains provider identifiers 2, 9, 10, 11, 14, 16, 17, 20, 22, 23, 28, 32, 34, 35, 36, 38, 41, 42, 48 and 51. The complete order, fold assignment and source-level membership are retained in </w:t>
      </w:r>
      <w:r>
        <w:rPr>
          <w:rFonts w:ascii="DejaVu Sans Mono" w:hAnsi="DejaVu Sans Mono"/>
          <w:sz w:val="20"/>
        </w:rPr>
        <w:t>indexed/provenance/source_registry.json</w:t>
      </w:r>
      <w:r>
        <w:rPr/>
        <w:t xml:space="preserve"> within the frozen result directory. Registry seed 20261017 fixes the subset and fold construction. All sessions belonging to a person remain in the same source-validation fold. The new five-fold selection design weights people within datasets; it is distinct from the earlier four-group Q14/Q15 design.</w:t>
      </w:r>
    </w:p>
    <w:p>
      <w:r>
        <w:rPr/>
        <w:t xml:space="preserve">BNCI contributes 2,592 distinct binary hand-imagery trials, 288 per person. The 153 Yang session pairs contribute 30,591 explicitly labelled trials across 51 people: native class 1 has 15,295 observations and class 2 has 15,296. Relative to the planned total, five class-1 and four class-2 observations are absent from the eligible set. These counts do not justify imputing unknown class labels. Native code 255, missing observations and segment boundaries remain in the event evidence. The approved rule accepts only explicit class codes 1/2, with no inferred label or onset. Five sessions contain fewer than the planned 100 observations per class. The frozen eligibility manifest has SHA-256 </w:t>
      </w:r>
      <w:r>
        <w:rPr>
          <w:rFonts w:ascii="DejaVu Sans Mono" w:hAnsi="DejaVu Sans Mono"/>
          <w:sz w:val="20"/>
        </w:rPr>
        <w:t>5291d362185a8db9bf45ddc95d9cb49d40de57893d2fd4da8681a802b5ab36f9</w:t>
      </w:r>
      <w:r>
        <w:rPr/>
        <w:t>.</w:t>
      </w:r>
    </w:p>
    <w:p>
      <w:r>
        <w:rPr/>
        <w:t>The native marker-9 delimiters retain the original operational grouping. Filtering out ineligible events does not move a later trial into a different artificial group of 40. A fixed registry binds each session to its original file identity and native positions. Thirty-one compatible previously prepared participant arrays were reused with their original embedded provenance retained and a separate compatibility binding to the current run. Reuse is recorded as reuse, not as a fresh acquisition or a new preprocessing execution.</w:t>
      </w:r>
    </w:p>
    <w:p>
      <w:r>
        <w:rPr/>
        <w:t>The Dreyer roster comprises provider participants 1–87 except 17 and 41, retaining 85 participants. Each contributes two acquisition runs, 80 eligible trials and 40 trials per class. Later adaptive online runs are outside this experiment. Identity correspondence and class counts are checked against saved input audit records, not treated as independent signal-level duplicate analysis.</w:t>
      </w:r>
    </w:p>
    <w:p>
      <w:pPr>
        <w:pStyle w:val="Heading1"/>
      </w:pPr>
      <w:r>
        <w:rPr/>
        <w:t>3. Timing, scale and numerical implementation</w:t>
      </w:r>
    </w:p>
    <w:p>
      <w:r>
        <w:rPr/>
        <w:t xml:space="preserve">The main text gives native context/crop timing and the complete channel order. Yang timing follows marker+[2,4) s, preserving the original event clock. The 1.5-s computational anchor is an analysis reference; the exact imagery phase is not established by that convention. The native </w:t>
      </w:r>
      <w:r>
        <w:rPr>
          <w:rFonts w:ascii="DejaVu Sans Mono" w:hAnsi="DejaVu Sans Mono"/>
          <w:sz w:val="20"/>
        </w:rPr>
        <w:t>?V</w:t>
      </w:r>
      <w:r>
        <w:rPr/>
        <w:t xml:space="preserve"> unit string is preserved. Dataset-specific header calibration is decoded numerically without assigning an unsupported voltage unit or treating an EDF conversion as identical to a different raw-file format.</w:t>
      </w:r>
    </w:p>
    <w:p>
      <w:r>
        <w:rPr/>
        <w:t xml:space="preserve">Each 18-channel context is common-average referenced before frozen filtering, polyphase resampling and cropping. Frozen Butterworth coefficients and initial conditions are stored in the archived </w:t>
      </w:r>
      <w:r>
        <w:rPr>
          <w:rFonts w:ascii="DejaVu Sans Mono" w:hAnsi="DejaVu Sans Mono"/>
          <w:sz w:val="20"/>
        </w:rPr>
        <w:t>provenance/code/config/filter_bank18.json</w:t>
      </w:r>
      <w:r>
        <w:rPr/>
        <w:t xml:space="preserve">, together with the required numerical-library identities. Odd forward/backward padding is 27 native samples. Resampling uses </w:t>
      </w:r>
      <w:r>
        <w:rPr>
          <w:rFonts w:ascii="DejaVu Sans Mono" w:hAnsi="DejaVu Sans Mono"/>
          <w:sz w:val="20"/>
        </w:rPr>
        <w:t>scipy.signal.resample_poly</w:t>
      </w:r>
      <w:r>
        <w:rPr/>
        <w:t xml:space="preserve"> with a Kaiser window (beta 5.0), constant padding and zero padding value. Arrays are ordered trial × view × channel × time, with views broadband/mu/beta, 18 channels and 320 samples at 160 Hz. Preparation stops for missing/changed file identities, missing expected observations, invalid numerical values or zero trial scale.</w:t>
      </w:r>
    </w:p>
    <w:p>
      <w:r>
        <w:rPr/>
        <w:t>After view/channel-wise temporal centering, all views are divided by the same trial's broadband RMS. For any positive scalar a, x(az)=az/s(az)=az/(a·s(z))=x(z). This deterministic identity concerns a common scalar across the trial, not channel-specific distortions, nonlinear calibration, timing equivalence or physical-amplitude recovery. No learned dataset alignment, across-trial target centering or target covariance fitting is introduced.</w:t>
      </w:r>
    </w:p>
    <w:p>
      <w:r>
        <w:rPr/>
        <w:t xml:space="preserve">The frozen </w:t>
      </w:r>
      <w:r>
        <w:rPr>
          <w:rFonts w:ascii="DejaVu Sans Mono" w:hAnsi="DejaVu Sans Mono"/>
          <w:sz w:val="20"/>
        </w:rPr>
        <w:t>uv.lock</w:t>
      </w:r>
      <w:r>
        <w:rPr/>
        <w:t xml:space="preserve">, runtime inventory and execution identity accompany the original result archive. They describe the executed scientific environment; the editorial rendering environment used for this package is separately recorded in </w:t>
      </w:r>
      <w:r>
        <w:rPr>
          <w:rFonts w:ascii="DejaVu Sans Mono" w:hAnsi="DejaVu Sans Mono"/>
          <w:sz w:val="20"/>
        </w:rPr>
        <w:t>evidence/build_receipt.json</w:t>
      </w:r>
      <w:r>
        <w:rPr/>
        <w:t>. Rendering dependencies are not substituted for scientific dependencies. The manuscript update reads result tables only.</w:t>
      </w:r>
    </w:p>
    <w:p>
      <w:pPr>
        <w:pStyle w:val="Heading1"/>
      </w:pPr>
      <w:r>
        <w:rPr/>
        <w:t>4. Selection rules and metric order</w:t>
      </w:r>
    </w:p>
    <w:p>
      <w:r>
        <w:rPr>
          <w:b/>
        </w:rPr>
        <w:t>S1 Table. Source-only checkpoint-selection objectives.</w:t>
      </w:r>
      <w:r>
        <w:rPr/>
        <w:t xml:space="preserve"> Each objective uses seed-averaged held-out source participant metrics, then equal dataset mass and equal participant mass within dataset. “Tail” is the worst one-third of this weighted distribution, with fractional weight at the boundary. Selection is conducted separately for each source level and neural pipeline.</w:t>
      </w:r>
    </w:p>
    <w:tbl>
      <w:tblPr>
        <w:tblStyle w:val="TableGrid"/>
        <w:tblW w:type="auto" w:w="0"/>
        <w:jc w:val="center"/>
        <w:tblLayout w:type="fixed"/>
        <w:tblLook w:firstColumn="1" w:firstRow="1" w:lastColumn="0" w:lastRow="0" w:noHBand="0" w:noVBand="1" w:val="04A0"/>
      </w:tblPr>
      <w:tblGrid>
        <w:gridCol w:w="3130"/>
        <w:gridCol w:w="3130"/>
        <w:gridCol w:w="3130"/>
      </w:tblGrid>
      <w:tr>
        <w:trPr>
          <w:cantSplit/>
          <w:tblHeader/>
        </w:trPr>
        <w:tc>
          <w:tcPr>
            <w:tcW w:type="dxa" w:w="3130"/>
            <w:vAlign w:val="center"/>
          </w:tcPr>
          <w:p>
            <w:pPr>
              <w:spacing w:line="264" w:lineRule="auto" w:before="60" w:after="60"/>
            </w:pPr>
            <w:r>
              <w:rPr>
                <w:b/>
                <w:sz w:val="22"/>
              </w:rPr>
              <w:t>Frozen rule</w:t>
            </w:r>
          </w:p>
        </w:tc>
        <w:tc>
          <w:tcPr>
            <w:tcW w:type="dxa" w:w="3130"/>
            <w:vAlign w:val="center"/>
          </w:tcPr>
          <w:p>
            <w:pPr>
              <w:spacing w:line="264" w:lineRule="auto" w:before="60" w:after="60"/>
            </w:pPr>
            <w:r>
              <w:rPr>
                <w:b/>
                <w:sz w:val="22"/>
              </w:rPr>
              <w:t>Objective</w:t>
            </w:r>
          </w:p>
        </w:tc>
        <w:tc>
          <w:tcPr>
            <w:tcW w:type="dxa" w:w="3130"/>
            <w:vAlign w:val="center"/>
          </w:tcPr>
          <w:p>
            <w:pPr>
              <w:spacing w:line="264" w:lineRule="auto" w:before="60" w:after="60"/>
            </w:pPr>
            <w:r>
              <w:rPr>
                <w:b/>
                <w:sz w:val="22"/>
              </w:rPr>
              <w:t>Direction</w:t>
            </w:r>
          </w:p>
        </w:tc>
      </w:tr>
      <w:tr>
        <w:trPr>
          <w:cantSplit/>
        </w:trPr>
        <w:tc>
          <w:tcPr>
            <w:tcW w:type="dxa" w:w="3130"/>
            <w:vAlign w:val="center"/>
          </w:tcPr>
          <w:p>
            <w:pPr>
              <w:spacing w:line="264" w:lineRule="auto" w:before="60" w:after="60"/>
            </w:pPr>
            <w:r>
              <w:rPr>
                <w:sz w:val="22"/>
              </w:rPr>
              <w:t>fixed20</w:t>
            </w:r>
          </w:p>
        </w:tc>
        <w:tc>
          <w:tcPr>
            <w:tcW w:type="dxa" w:w="3130"/>
            <w:vAlign w:val="center"/>
          </w:tcPr>
          <w:p>
            <w:pPr>
              <w:spacing w:line="264" w:lineRule="auto" w:before="60" w:after="60"/>
            </w:pPr>
            <w:r>
              <w:rPr>
                <w:sz w:val="22"/>
              </w:rPr>
              <w:t>Epoch 20</w:t>
            </w:r>
          </w:p>
        </w:tc>
        <w:tc>
          <w:tcPr>
            <w:tcW w:type="dxa" w:w="3130"/>
            <w:vAlign w:val="center"/>
          </w:tcPr>
          <w:p>
            <w:pPr>
              <w:spacing w:line="264" w:lineRule="auto" w:before="60" w:after="60"/>
            </w:pPr>
            <w:r>
              <w:rPr>
                <w:sz w:val="22"/>
              </w:rPr>
              <w:t>Fixed</w:t>
            </w:r>
          </w:p>
        </w:tc>
      </w:tr>
      <w:tr>
        <w:trPr>
          <w:cantSplit/>
        </w:trPr>
        <w:tc>
          <w:tcPr>
            <w:tcW w:type="dxa" w:w="3130"/>
            <w:vAlign w:val="center"/>
          </w:tcPr>
          <w:p>
            <w:pPr>
              <w:spacing w:line="264" w:lineRule="auto" w:before="60" w:after="60"/>
            </w:pPr>
            <w:r>
              <w:rPr>
                <w:sz w:val="22"/>
              </w:rPr>
              <w:t>mean_ce</w:t>
            </w:r>
          </w:p>
        </w:tc>
        <w:tc>
          <w:tcPr>
            <w:tcW w:type="dxa" w:w="3130"/>
            <w:vAlign w:val="center"/>
          </w:tcPr>
          <w:p>
            <w:pPr>
              <w:spacing w:line="264" w:lineRule="auto" w:before="60" w:after="60"/>
            </w:pPr>
            <w:r>
              <w:rPr>
                <w:sz w:val="22"/>
              </w:rPr>
              <w:t>Weighted mean cross-entropy</w:t>
            </w:r>
          </w:p>
        </w:tc>
        <w:tc>
          <w:tcPr>
            <w:tcW w:type="dxa" w:w="3130"/>
            <w:vAlign w:val="center"/>
          </w:tcPr>
          <w:p>
            <w:pPr>
              <w:spacing w:line="264" w:lineRule="auto" w:before="60" w:after="60"/>
            </w:pPr>
            <w:r>
              <w:rPr>
                <w:sz w:val="22"/>
              </w:rPr>
              <w:t>Minimize</w:t>
            </w:r>
          </w:p>
        </w:tc>
      </w:tr>
      <w:tr>
        <w:trPr>
          <w:cantSplit/>
        </w:trPr>
        <w:tc>
          <w:tcPr>
            <w:tcW w:type="dxa" w:w="3130"/>
            <w:vAlign w:val="center"/>
          </w:tcPr>
          <w:p>
            <w:pPr>
              <w:spacing w:line="264" w:lineRule="auto" w:before="60" w:after="60"/>
            </w:pPr>
            <w:r>
              <w:rPr>
                <w:sz w:val="22"/>
              </w:rPr>
              <w:t>mean_rank</w:t>
            </w:r>
          </w:p>
        </w:tc>
        <w:tc>
          <w:tcPr>
            <w:tcW w:type="dxa" w:w="3130"/>
            <w:vAlign w:val="center"/>
          </w:tcPr>
          <w:p>
            <w:pPr>
              <w:spacing w:line="264" w:lineRule="auto" w:before="60" w:after="60"/>
            </w:pPr>
            <w:r>
              <w:rPr>
                <w:sz w:val="22"/>
              </w:rPr>
              <w:t>Weighted mean within-person cross-entropy rank across epochs</w:t>
            </w:r>
          </w:p>
        </w:tc>
        <w:tc>
          <w:tcPr>
            <w:tcW w:type="dxa" w:w="3130"/>
            <w:vAlign w:val="center"/>
          </w:tcPr>
          <w:p>
            <w:pPr>
              <w:spacing w:line="264" w:lineRule="auto" w:before="60" w:after="60"/>
            </w:pPr>
            <w:r>
              <w:rPr>
                <w:sz w:val="22"/>
              </w:rPr>
              <w:t>Minimize</w:t>
            </w:r>
          </w:p>
        </w:tc>
      </w:tr>
      <w:tr>
        <w:trPr>
          <w:cantSplit/>
        </w:trPr>
        <w:tc>
          <w:tcPr>
            <w:tcW w:type="dxa" w:w="3130"/>
            <w:vAlign w:val="center"/>
          </w:tcPr>
          <w:p>
            <w:pPr>
              <w:spacing w:line="264" w:lineRule="auto" w:before="60" w:after="60"/>
            </w:pPr>
            <w:r>
              <w:rPr>
                <w:sz w:val="22"/>
              </w:rPr>
              <w:t>mean_ba</w:t>
            </w:r>
          </w:p>
        </w:tc>
        <w:tc>
          <w:tcPr>
            <w:tcW w:type="dxa" w:w="3130"/>
            <w:vAlign w:val="center"/>
          </w:tcPr>
          <w:p>
            <w:pPr>
              <w:spacing w:line="264" w:lineRule="auto" w:before="60" w:after="60"/>
            </w:pPr>
            <w:r>
              <w:rPr>
                <w:sz w:val="22"/>
              </w:rPr>
              <w:t>Weighted mean balanced accuracy</w:t>
            </w:r>
          </w:p>
        </w:tc>
        <w:tc>
          <w:tcPr>
            <w:tcW w:type="dxa" w:w="3130"/>
            <w:vAlign w:val="center"/>
          </w:tcPr>
          <w:p>
            <w:pPr>
              <w:spacing w:line="264" w:lineRule="auto" w:before="60" w:after="60"/>
            </w:pPr>
            <w:r>
              <w:rPr>
                <w:sz w:val="22"/>
              </w:rPr>
              <w:t>Maximize</w:t>
            </w:r>
          </w:p>
        </w:tc>
      </w:tr>
      <w:tr>
        <w:trPr>
          <w:cantSplit/>
        </w:trPr>
        <w:tc>
          <w:tcPr>
            <w:tcW w:type="dxa" w:w="3130"/>
            <w:vAlign w:val="center"/>
          </w:tcPr>
          <w:p>
            <w:pPr>
              <w:spacing w:line="264" w:lineRule="auto" w:before="60" w:after="60"/>
            </w:pPr>
            <w:r>
              <w:rPr>
                <w:sz w:val="22"/>
              </w:rPr>
              <w:t>mean_min_recall</w:t>
            </w:r>
          </w:p>
        </w:tc>
        <w:tc>
          <w:tcPr>
            <w:tcW w:type="dxa" w:w="3130"/>
            <w:vAlign w:val="center"/>
          </w:tcPr>
          <w:p>
            <w:pPr>
              <w:spacing w:line="264" w:lineRule="auto" w:before="60" w:after="60"/>
            </w:pPr>
            <w:r>
              <w:rPr>
                <w:sz w:val="22"/>
              </w:rPr>
              <w:t>Weighted mean smaller class recall</w:t>
            </w:r>
          </w:p>
        </w:tc>
        <w:tc>
          <w:tcPr>
            <w:tcW w:type="dxa" w:w="3130"/>
            <w:vAlign w:val="center"/>
          </w:tcPr>
          <w:p>
            <w:pPr>
              <w:spacing w:line="264" w:lineRule="auto" w:before="60" w:after="60"/>
            </w:pPr>
            <w:r>
              <w:rPr>
                <w:sz w:val="22"/>
              </w:rPr>
              <w:t>Maximize</w:t>
            </w:r>
          </w:p>
        </w:tc>
      </w:tr>
      <w:tr>
        <w:trPr>
          <w:cantSplit/>
        </w:trPr>
        <w:tc>
          <w:tcPr>
            <w:tcW w:type="dxa" w:w="3130"/>
            <w:vAlign w:val="center"/>
          </w:tcPr>
          <w:p>
            <w:pPr>
              <w:spacing w:line="264" w:lineRule="auto" w:before="60" w:after="60"/>
            </w:pPr>
            <w:r>
              <w:rPr>
                <w:sz w:val="22"/>
              </w:rPr>
              <w:t>tail_ce</w:t>
            </w:r>
          </w:p>
        </w:tc>
        <w:tc>
          <w:tcPr>
            <w:tcW w:type="dxa" w:w="3130"/>
            <w:vAlign w:val="center"/>
          </w:tcPr>
          <w:p>
            <w:pPr>
              <w:spacing w:line="264" w:lineRule="auto" w:before="60" w:after="60"/>
            </w:pPr>
            <w:r>
              <w:rPr>
                <w:sz w:val="22"/>
              </w:rPr>
              <w:t>Weighted upper-tail cross-entropy</w:t>
            </w:r>
          </w:p>
        </w:tc>
        <w:tc>
          <w:tcPr>
            <w:tcW w:type="dxa" w:w="3130"/>
            <w:vAlign w:val="center"/>
          </w:tcPr>
          <w:p>
            <w:pPr>
              <w:spacing w:line="264" w:lineRule="auto" w:before="60" w:after="60"/>
            </w:pPr>
            <w:r>
              <w:rPr>
                <w:sz w:val="22"/>
              </w:rPr>
              <w:t>Minimize</w:t>
            </w:r>
          </w:p>
        </w:tc>
      </w:tr>
      <w:tr>
        <w:trPr>
          <w:cantSplit/>
        </w:trPr>
        <w:tc>
          <w:tcPr>
            <w:tcW w:type="dxa" w:w="3130"/>
            <w:vAlign w:val="center"/>
          </w:tcPr>
          <w:p>
            <w:pPr>
              <w:spacing w:line="264" w:lineRule="auto" w:before="60" w:after="60"/>
            </w:pPr>
            <w:r>
              <w:rPr>
                <w:sz w:val="22"/>
              </w:rPr>
              <w:t>tail_ba</w:t>
            </w:r>
          </w:p>
        </w:tc>
        <w:tc>
          <w:tcPr>
            <w:tcW w:type="dxa" w:w="3130"/>
            <w:vAlign w:val="center"/>
          </w:tcPr>
          <w:p>
            <w:pPr>
              <w:spacing w:line="264" w:lineRule="auto" w:before="60" w:after="60"/>
            </w:pPr>
            <w:r>
              <w:rPr>
                <w:sz w:val="22"/>
              </w:rPr>
              <w:t>Weighted lower-tail balanced accuracy</w:t>
            </w:r>
          </w:p>
        </w:tc>
        <w:tc>
          <w:tcPr>
            <w:tcW w:type="dxa" w:w="3130"/>
            <w:vAlign w:val="center"/>
          </w:tcPr>
          <w:p>
            <w:pPr>
              <w:spacing w:line="264" w:lineRule="auto" w:before="60" w:after="60"/>
            </w:pPr>
            <w:r>
              <w:rPr>
                <w:sz w:val="22"/>
              </w:rPr>
              <w:t>Maximize</w:t>
            </w:r>
          </w:p>
        </w:tc>
      </w:tr>
      <w:tr>
        <w:trPr>
          <w:cantSplit/>
        </w:trPr>
        <w:tc>
          <w:tcPr>
            <w:tcW w:type="dxa" w:w="3130"/>
            <w:vAlign w:val="center"/>
          </w:tcPr>
          <w:p>
            <w:pPr>
              <w:spacing w:line="264" w:lineRule="auto" w:before="60" w:after="60"/>
            </w:pPr>
            <w:r>
              <w:rPr>
                <w:sz w:val="22"/>
              </w:rPr>
              <w:t>tail_min_recall</w:t>
            </w:r>
          </w:p>
        </w:tc>
        <w:tc>
          <w:tcPr>
            <w:tcW w:type="dxa" w:w="3130"/>
            <w:vAlign w:val="center"/>
          </w:tcPr>
          <w:p>
            <w:pPr>
              <w:spacing w:line="264" w:lineRule="auto" w:before="60" w:after="60"/>
            </w:pPr>
            <w:r>
              <w:rPr>
                <w:sz w:val="22"/>
              </w:rPr>
              <w:t>Weighted lower-tail smaller class recall</w:t>
            </w:r>
          </w:p>
        </w:tc>
        <w:tc>
          <w:tcPr>
            <w:tcW w:type="dxa" w:w="3130"/>
            <w:vAlign w:val="center"/>
          </w:tcPr>
          <w:p>
            <w:pPr>
              <w:spacing w:line="264" w:lineRule="auto" w:before="60" w:after="60"/>
            </w:pPr>
            <w:r>
              <w:rPr>
                <w:sz w:val="22"/>
              </w:rPr>
              <w:t>Maximize</w:t>
            </w:r>
          </w:p>
        </w:tc>
      </w:tr>
    </w:tbl>
    <w:p/>
    <w:p>
      <w:r>
        <w:rPr/>
        <w:t>All rules use candidate epochs 1–40. Score ties within absolute tolerance 10⁻¹² use highest mean balanced accuracy and then the earliest epoch, except mean-rank ties, which use the earliest minimum directly. The same selected epoch is applied to each of the three final seeds. These are source-validation operations; the complete external table is not used to choose a preferred rule.</w:t>
      </w:r>
    </w:p>
    <w:p>
      <w:r>
        <w:rPr/>
        <w:t>For each participant and seed, balanced accuracy B is (rL+rR)/2 and weaker-class recall W is min(rL,rR). Both are computed from that seed's predictions before averaging over seeds. In general, mean over seeds of min(rL,rR) differs from min of the two seed-averaged recalls. The archived implementation uses the former. Equal logits are assigned class 0; probability-only cross-entropy uses a fixed numerical clipping convention, documented in the archived metric implementation.</w:t>
      </w:r>
    </w:p>
    <w:p>
      <w:r>
        <w:rPr/>
        <w:t>The identity |rL−rR|=2(B−W) holds within each seed and survives linear seed/participant averaging. Fig 4C is a post hoc descriptive calculation from existing endpoint means. It adds neither a test of class-gap reduction nor a prospective outcome. Complete precision is retained in its figure-data CSV.</w:t>
      </w:r>
    </w:p>
    <w:p>
      <w:pPr>
        <w:pStyle w:val="Heading1"/>
      </w:pPr>
      <w:r>
        <w:rPr/>
        <w:t>5. Completed execution and inference inventory</w:t>
      </w:r>
    </w:p>
    <w:p>
      <w:r>
        <w:rPr>
          <w:b/>
        </w:rPr>
        <w:t>S2 Table. Counts at their actual observational grain.</w:t>
      </w:r>
      <w:r>
        <w:rPr/>
        <w:t xml:space="preserve"> The result archive records completion at 2026-10-18 04:26:19.986827 UTC. A process exit code was not collected in the archived wait record and is not inferred from the completion status.</w:t>
      </w:r>
    </w:p>
    <w:tbl>
      <w:tblPr>
        <w:tblStyle w:val="TableGrid"/>
        <w:tblW w:type="auto" w:w="0"/>
        <w:jc w:val="center"/>
        <w:tblLayout w:type="fixed"/>
        <w:tblLook w:firstColumn="1" w:firstRow="1" w:lastColumn="0" w:lastRow="0" w:noHBand="0" w:noVBand="1" w:val="04A0"/>
      </w:tblPr>
      <w:tblGrid>
        <w:gridCol w:w="3286"/>
        <w:gridCol w:w="3051"/>
        <w:gridCol w:w="3051"/>
      </w:tblGrid>
      <w:tr>
        <w:trPr>
          <w:cantSplit/>
          <w:tblHeader/>
        </w:trPr>
        <w:tc>
          <w:tcPr>
            <w:tcW w:type="dxa" w:w="3286"/>
            <w:vAlign w:val="center"/>
          </w:tcPr>
          <w:p>
            <w:pPr>
              <w:spacing w:line="264" w:lineRule="auto" w:before="60" w:after="60"/>
            </w:pPr>
            <w:r>
              <w:rPr>
                <w:b/>
                <w:sz w:val="22"/>
              </w:rPr>
              <w:t>Evidence unit</w:t>
            </w:r>
          </w:p>
        </w:tc>
        <w:tc>
          <w:tcPr>
            <w:tcW w:type="dxa" w:w="3051"/>
            <w:vAlign w:val="center"/>
          </w:tcPr>
          <w:p>
            <w:pPr>
              <w:spacing w:line="264" w:lineRule="auto" w:before="60" w:after="60"/>
            </w:pPr>
            <w:r>
              <w:rPr>
                <w:b/>
                <w:sz w:val="22"/>
              </w:rPr>
              <w:t>Count</w:t>
            </w:r>
          </w:p>
        </w:tc>
        <w:tc>
          <w:tcPr>
            <w:tcW w:type="dxa" w:w="3051"/>
            <w:vAlign w:val="center"/>
          </w:tcPr>
          <w:p>
            <w:pPr>
              <w:spacing w:line="264" w:lineRule="auto" w:before="60" w:after="60"/>
            </w:pPr>
            <w:r>
              <w:rPr>
                <w:b/>
                <w:sz w:val="22"/>
              </w:rPr>
              <w:t>Interpretation</w:t>
            </w:r>
          </w:p>
        </w:tc>
      </w:tr>
      <w:tr>
        <w:trPr>
          <w:cantSplit/>
        </w:trPr>
        <w:tc>
          <w:tcPr>
            <w:tcW w:type="dxa" w:w="3286"/>
            <w:vAlign w:val="center"/>
          </w:tcPr>
          <w:p>
            <w:pPr>
              <w:spacing w:line="264" w:lineRule="auto" w:before="60" w:after="60"/>
            </w:pPr>
            <w:r>
              <w:rPr>
                <w:sz w:val="22"/>
              </w:rPr>
              <w:t>Source-validation neural trajectories</w:t>
            </w:r>
          </w:p>
        </w:tc>
        <w:tc>
          <w:tcPr>
            <w:tcW w:type="dxa" w:w="3051"/>
            <w:vAlign w:val="center"/>
          </w:tcPr>
          <w:p>
            <w:pPr>
              <w:spacing w:line="264" w:lineRule="auto" w:before="60" w:after="60"/>
            </w:pPr>
            <w:r>
              <w:rPr>
                <w:sz w:val="22"/>
              </w:rPr>
              <w:t>90</w:t>
            </w:r>
          </w:p>
        </w:tc>
        <w:tc>
          <w:tcPr>
            <w:tcW w:type="dxa" w:w="3051"/>
            <w:vAlign w:val="center"/>
          </w:tcPr>
          <w:p>
            <w:pPr>
              <w:spacing w:line="264" w:lineRule="auto" w:before="60" w:after="60"/>
            </w:pPr>
            <w:r>
              <w:rPr>
                <w:sz w:val="22"/>
              </w:rPr>
              <w:t>3 source levels × 2 pipelines × 5 folds × 3 seeds</w:t>
            </w:r>
          </w:p>
        </w:tc>
      </w:tr>
      <w:tr>
        <w:trPr>
          <w:cantSplit/>
        </w:trPr>
        <w:tc>
          <w:tcPr>
            <w:tcW w:type="dxa" w:w="3286"/>
            <w:vAlign w:val="center"/>
          </w:tcPr>
          <w:p>
            <w:pPr>
              <w:spacing w:line="264" w:lineRule="auto" w:before="60" w:after="60"/>
            </w:pPr>
            <w:r>
              <w:rPr>
                <w:sz w:val="22"/>
              </w:rPr>
              <w:t>Final neural trajectories</w:t>
            </w:r>
          </w:p>
        </w:tc>
        <w:tc>
          <w:tcPr>
            <w:tcW w:type="dxa" w:w="3051"/>
            <w:vAlign w:val="center"/>
          </w:tcPr>
          <w:p>
            <w:pPr>
              <w:spacing w:line="264" w:lineRule="auto" w:before="60" w:after="60"/>
            </w:pPr>
            <w:r>
              <w:rPr>
                <w:sz w:val="22"/>
              </w:rPr>
              <w:t>18</w:t>
            </w:r>
          </w:p>
        </w:tc>
        <w:tc>
          <w:tcPr>
            <w:tcW w:type="dxa" w:w="3051"/>
            <w:vAlign w:val="center"/>
          </w:tcPr>
          <w:p>
            <w:pPr>
              <w:spacing w:line="264" w:lineRule="auto" w:before="60" w:after="60"/>
            </w:pPr>
            <w:r>
              <w:rPr>
                <w:sz w:val="22"/>
              </w:rPr>
              <w:t>3 source levels × 2 pipelines × 3 seeds</w:t>
            </w:r>
          </w:p>
        </w:tc>
      </w:tr>
      <w:tr>
        <w:trPr>
          <w:cantSplit/>
        </w:trPr>
        <w:tc>
          <w:tcPr>
            <w:tcW w:type="dxa" w:w="3286"/>
            <w:vAlign w:val="center"/>
          </w:tcPr>
          <w:p>
            <w:pPr>
              <w:spacing w:line="264" w:lineRule="auto" w:before="60" w:after="60"/>
            </w:pPr>
            <w:r>
              <w:rPr>
                <w:sz w:val="22"/>
              </w:rPr>
              <w:t>Full neural trajectories</w:t>
            </w:r>
          </w:p>
        </w:tc>
        <w:tc>
          <w:tcPr>
            <w:tcW w:type="dxa" w:w="3051"/>
            <w:vAlign w:val="center"/>
          </w:tcPr>
          <w:p>
            <w:pPr>
              <w:spacing w:line="264" w:lineRule="auto" w:before="60" w:after="60"/>
            </w:pPr>
            <w:r>
              <w:rPr>
                <w:sz w:val="22"/>
              </w:rPr>
              <w:t>108</w:t>
            </w:r>
          </w:p>
        </w:tc>
        <w:tc>
          <w:tcPr>
            <w:tcW w:type="dxa" w:w="3051"/>
            <w:vAlign w:val="center"/>
          </w:tcPr>
          <w:p>
            <w:pPr>
              <w:spacing w:line="264" w:lineRule="auto" w:before="60" w:after="60"/>
            </w:pPr>
            <w:r>
              <w:rPr>
                <w:sz w:val="22"/>
              </w:rPr>
              <w:t>40 epochs × 128 updates each</w:t>
            </w:r>
          </w:p>
        </w:tc>
      </w:tr>
      <w:tr>
        <w:trPr>
          <w:cantSplit/>
        </w:trPr>
        <w:tc>
          <w:tcPr>
            <w:tcW w:type="dxa" w:w="3286"/>
            <w:vAlign w:val="center"/>
          </w:tcPr>
          <w:p>
            <w:pPr>
              <w:spacing w:line="264" w:lineRule="auto" w:before="60" w:after="60"/>
            </w:pPr>
            <w:r>
              <w:rPr>
                <w:sz w:val="22"/>
              </w:rPr>
              <w:t>Epoch checkpoints</w:t>
            </w:r>
          </w:p>
        </w:tc>
        <w:tc>
          <w:tcPr>
            <w:tcW w:type="dxa" w:w="3051"/>
            <w:vAlign w:val="center"/>
          </w:tcPr>
          <w:p>
            <w:pPr>
              <w:spacing w:line="264" w:lineRule="auto" w:before="60" w:after="60"/>
            </w:pPr>
            <w:r>
              <w:rPr>
                <w:sz w:val="22"/>
              </w:rPr>
              <w:t>4,320</w:t>
            </w:r>
          </w:p>
        </w:tc>
        <w:tc>
          <w:tcPr>
            <w:tcW w:type="dxa" w:w="3051"/>
            <w:vAlign w:val="center"/>
          </w:tcPr>
          <w:p>
            <w:pPr>
              <w:spacing w:line="264" w:lineRule="auto" w:before="60" w:after="60"/>
            </w:pPr>
            <w:r>
              <w:rPr>
                <w:sz w:val="22"/>
              </w:rPr>
              <w:t>Repeated states within trajectories</w:t>
            </w:r>
          </w:p>
        </w:tc>
      </w:tr>
      <w:tr>
        <w:trPr>
          <w:cantSplit/>
        </w:trPr>
        <w:tc>
          <w:tcPr>
            <w:tcW w:type="dxa" w:w="3286"/>
            <w:vAlign w:val="center"/>
          </w:tcPr>
          <w:p>
            <w:pPr>
              <w:spacing w:line="264" w:lineRule="auto" w:before="60" w:after="60"/>
            </w:pPr>
            <w:r>
              <w:rPr>
                <w:sz w:val="22"/>
              </w:rPr>
              <w:t>Source-validation rows</w:t>
            </w:r>
          </w:p>
        </w:tc>
        <w:tc>
          <w:tcPr>
            <w:tcW w:type="dxa" w:w="3051"/>
            <w:vAlign w:val="center"/>
          </w:tcPr>
          <w:p>
            <w:pPr>
              <w:spacing w:line="264" w:lineRule="auto" w:before="60" w:after="60"/>
            </w:pPr>
            <w:r>
              <w:rPr>
                <w:sz w:val="22"/>
              </w:rPr>
              <w:t>23,520</w:t>
            </w:r>
          </w:p>
        </w:tc>
        <w:tc>
          <w:tcPr>
            <w:tcW w:type="dxa" w:w="3051"/>
            <w:vAlign w:val="center"/>
          </w:tcPr>
          <w:p>
            <w:pPr>
              <w:spacing w:line="264" w:lineRule="auto" w:before="60" w:after="60"/>
            </w:pPr>
            <w:r>
              <w:rPr>
                <w:sz w:val="22"/>
              </w:rPr>
              <w:t>Person/seed/epoch metrics</w:t>
            </w:r>
          </w:p>
        </w:tc>
      </w:tr>
      <w:tr>
        <w:trPr>
          <w:cantSplit/>
        </w:trPr>
        <w:tc>
          <w:tcPr>
            <w:tcW w:type="dxa" w:w="3286"/>
            <w:vAlign w:val="center"/>
          </w:tcPr>
          <w:p>
            <w:pPr>
              <w:spacing w:line="264" w:lineRule="auto" w:before="60" w:after="60"/>
            </w:pPr>
            <w:r>
              <w:rPr>
                <w:sz w:val="22"/>
              </w:rPr>
              <w:t>Aggregate source scores</w:t>
            </w:r>
          </w:p>
        </w:tc>
        <w:tc>
          <w:tcPr>
            <w:tcW w:type="dxa" w:w="3051"/>
            <w:vAlign w:val="center"/>
          </w:tcPr>
          <w:p>
            <w:pPr>
              <w:spacing w:line="264" w:lineRule="auto" w:before="60" w:after="60"/>
            </w:pPr>
            <w:r>
              <w:rPr>
                <w:sz w:val="22"/>
              </w:rPr>
              <w:t>1,680</w:t>
            </w:r>
          </w:p>
        </w:tc>
        <w:tc>
          <w:tcPr>
            <w:tcW w:type="dxa" w:w="3051"/>
            <w:vAlign w:val="center"/>
          </w:tcPr>
          <w:p>
            <w:pPr>
              <w:spacing w:line="264" w:lineRule="auto" w:before="60" w:after="60"/>
            </w:pPr>
            <w:r>
              <w:rPr>
                <w:sz w:val="22"/>
              </w:rPr>
              <w:t>Selection arithmetic audit</w:t>
            </w:r>
          </w:p>
        </w:tc>
      </w:tr>
      <w:tr>
        <w:trPr>
          <w:cantSplit/>
        </w:trPr>
        <w:tc>
          <w:tcPr>
            <w:tcW w:type="dxa" w:w="3286"/>
            <w:vAlign w:val="center"/>
          </w:tcPr>
          <w:p>
            <w:pPr>
              <w:spacing w:line="264" w:lineRule="auto" w:before="60" w:after="60"/>
            </w:pPr>
            <w:r>
              <w:rPr>
                <w:sz w:val="22"/>
              </w:rPr>
              <w:t>Source-level/pipeline/rule choices</w:t>
            </w:r>
          </w:p>
        </w:tc>
        <w:tc>
          <w:tcPr>
            <w:tcW w:type="dxa" w:w="3051"/>
            <w:vAlign w:val="center"/>
          </w:tcPr>
          <w:p>
            <w:pPr>
              <w:spacing w:line="264" w:lineRule="auto" w:before="60" w:after="60"/>
            </w:pPr>
            <w:r>
              <w:rPr>
                <w:sz w:val="22"/>
              </w:rPr>
              <w:t>48</w:t>
            </w:r>
          </w:p>
        </w:tc>
        <w:tc>
          <w:tcPr>
            <w:tcW w:type="dxa" w:w="3051"/>
            <w:vAlign w:val="center"/>
          </w:tcPr>
          <w:p>
            <w:pPr>
              <w:spacing w:line="264" w:lineRule="auto" w:before="60" w:after="60"/>
            </w:pPr>
            <w:r>
              <w:rPr>
                <w:sz w:val="22"/>
              </w:rPr>
              <w:t>3 × 2 × 8</w:t>
            </w:r>
          </w:p>
        </w:tc>
      </w:tr>
      <w:tr>
        <w:trPr>
          <w:cantSplit/>
        </w:trPr>
        <w:tc>
          <w:tcPr>
            <w:tcW w:type="dxa" w:w="3286"/>
            <w:vAlign w:val="center"/>
          </w:tcPr>
          <w:p>
            <w:pPr>
              <w:spacing w:line="264" w:lineRule="auto" w:before="60" w:after="60"/>
            </w:pPr>
            <w:r>
              <w:rPr>
                <w:sz w:val="22"/>
              </w:rPr>
              <w:t>Selected condition-by-seed outputs</w:t>
            </w:r>
          </w:p>
        </w:tc>
        <w:tc>
          <w:tcPr>
            <w:tcW w:type="dxa" w:w="3051"/>
            <w:vAlign w:val="center"/>
          </w:tcPr>
          <w:p>
            <w:pPr>
              <w:spacing w:line="264" w:lineRule="auto" w:before="60" w:after="60"/>
            </w:pPr>
            <w:r>
              <w:rPr>
                <w:sz w:val="22"/>
              </w:rPr>
              <w:t>144</w:t>
            </w:r>
          </w:p>
        </w:tc>
        <w:tc>
          <w:tcPr>
            <w:tcW w:type="dxa" w:w="3051"/>
            <w:vAlign w:val="center"/>
          </w:tcPr>
          <w:p>
            <w:pPr>
              <w:spacing w:line="264" w:lineRule="auto" w:before="60" w:after="60"/>
            </w:pPr>
            <w:r>
              <w:rPr>
                <w:sz w:val="22"/>
              </w:rPr>
              <w:t>Multiple rules can share a checkpoint</w:t>
            </w:r>
          </w:p>
        </w:tc>
      </w:tr>
      <w:tr>
        <w:trPr>
          <w:cantSplit/>
        </w:trPr>
        <w:tc>
          <w:tcPr>
            <w:tcW w:type="dxa" w:w="3286"/>
            <w:vAlign w:val="center"/>
          </w:tcPr>
          <w:p>
            <w:pPr>
              <w:spacing w:line="264" w:lineRule="auto" w:before="60" w:after="60"/>
            </w:pPr>
            <w:r>
              <w:rPr>
                <w:sz w:val="22"/>
              </w:rPr>
              <w:t>Distinct selected checkpoint identities</w:t>
            </w:r>
          </w:p>
        </w:tc>
        <w:tc>
          <w:tcPr>
            <w:tcW w:type="dxa" w:w="3051"/>
            <w:vAlign w:val="center"/>
          </w:tcPr>
          <w:p>
            <w:pPr>
              <w:spacing w:line="264" w:lineRule="auto" w:before="60" w:after="60"/>
            </w:pPr>
            <w:r>
              <w:rPr>
                <w:sz w:val="22"/>
              </w:rPr>
              <w:t>99</w:t>
            </w:r>
          </w:p>
        </w:tc>
        <w:tc>
          <w:tcPr>
            <w:tcW w:type="dxa" w:w="3051"/>
            <w:vAlign w:val="center"/>
          </w:tcPr>
          <w:p>
            <w:pPr>
              <w:spacing w:line="264" w:lineRule="auto" w:before="60" w:after="60"/>
            </w:pPr>
            <w:r>
              <w:rPr>
                <w:sz w:val="22"/>
              </w:rPr>
              <w:t>Level/pipeline/seed/epoch combinations</w:t>
            </w:r>
          </w:p>
        </w:tc>
      </w:tr>
      <w:tr>
        <w:trPr>
          <w:cantSplit/>
        </w:trPr>
        <w:tc>
          <w:tcPr>
            <w:tcW w:type="dxa" w:w="3286"/>
            <w:vAlign w:val="center"/>
          </w:tcPr>
          <w:p>
            <w:pPr>
              <w:spacing w:line="264" w:lineRule="auto" w:before="60" w:after="60"/>
            </w:pPr>
            <w:r>
              <w:rPr>
                <w:sz w:val="22"/>
              </w:rPr>
              <w:t>Conventional fits</w:t>
            </w:r>
          </w:p>
        </w:tc>
        <w:tc>
          <w:tcPr>
            <w:tcW w:type="dxa" w:w="3051"/>
            <w:vAlign w:val="center"/>
          </w:tcPr>
          <w:p>
            <w:pPr>
              <w:spacing w:line="264" w:lineRule="auto" w:before="60" w:after="60"/>
            </w:pPr>
            <w:r>
              <w:rPr>
                <w:sz w:val="22"/>
              </w:rPr>
              <w:t>9</w:t>
            </w:r>
          </w:p>
        </w:tc>
        <w:tc>
          <w:tcPr>
            <w:tcW w:type="dxa" w:w="3051"/>
            <w:vAlign w:val="center"/>
          </w:tcPr>
          <w:p>
            <w:pPr>
              <w:spacing w:line="264" w:lineRule="auto" w:before="60" w:after="60"/>
            </w:pPr>
            <w:r>
              <w:rPr>
                <w:sz w:val="22"/>
              </w:rPr>
              <w:t>3 source levels × 3 seeds</w:t>
            </w:r>
          </w:p>
        </w:tc>
      </w:tr>
      <w:tr>
        <w:trPr>
          <w:cantSplit/>
        </w:trPr>
        <w:tc>
          <w:tcPr>
            <w:tcW w:type="dxa" w:w="3286"/>
            <w:vAlign w:val="center"/>
          </w:tcPr>
          <w:p>
            <w:pPr>
              <w:spacing w:line="264" w:lineRule="auto" w:before="60" w:after="60"/>
            </w:pPr>
            <w:r>
              <w:rPr>
                <w:sz w:val="22"/>
              </w:rPr>
              <w:t>Saved neural prediction rows</w:t>
            </w:r>
          </w:p>
        </w:tc>
        <w:tc>
          <w:tcPr>
            <w:tcW w:type="dxa" w:w="3051"/>
            <w:vAlign w:val="center"/>
          </w:tcPr>
          <w:p>
            <w:pPr>
              <w:spacing w:line="264" w:lineRule="auto" w:before="60" w:after="60"/>
            </w:pPr>
            <w:r>
              <w:rPr>
                <w:sz w:val="22"/>
              </w:rPr>
              <w:t>979,200</w:t>
            </w:r>
          </w:p>
        </w:tc>
        <w:tc>
          <w:tcPr>
            <w:tcW w:type="dxa" w:w="3051"/>
            <w:vAlign w:val="center"/>
          </w:tcPr>
          <w:p>
            <w:pPr>
              <w:spacing w:line="264" w:lineRule="auto" w:before="60" w:after="60"/>
            </w:pPr>
            <w:r>
              <w:rPr>
                <w:sz w:val="22"/>
              </w:rPr>
              <w:t>144 outputs × 6,800 trials</w:t>
            </w:r>
          </w:p>
        </w:tc>
      </w:tr>
      <w:tr>
        <w:trPr>
          <w:cantSplit/>
        </w:trPr>
        <w:tc>
          <w:tcPr>
            <w:tcW w:type="dxa" w:w="3286"/>
            <w:vAlign w:val="center"/>
          </w:tcPr>
          <w:p>
            <w:pPr>
              <w:spacing w:line="264" w:lineRule="auto" w:before="60" w:after="60"/>
            </w:pPr>
            <w:r>
              <w:rPr>
                <w:sz w:val="22"/>
              </w:rPr>
              <w:t>Saved conventional prediction rows</w:t>
            </w:r>
          </w:p>
        </w:tc>
        <w:tc>
          <w:tcPr>
            <w:tcW w:type="dxa" w:w="3051"/>
            <w:vAlign w:val="center"/>
          </w:tcPr>
          <w:p>
            <w:pPr>
              <w:spacing w:line="264" w:lineRule="auto" w:before="60" w:after="60"/>
            </w:pPr>
            <w:r>
              <w:rPr>
                <w:sz w:val="22"/>
              </w:rPr>
              <w:t>61,200</w:t>
            </w:r>
          </w:p>
        </w:tc>
        <w:tc>
          <w:tcPr>
            <w:tcW w:type="dxa" w:w="3051"/>
            <w:vAlign w:val="center"/>
          </w:tcPr>
          <w:p>
            <w:pPr>
              <w:spacing w:line="264" w:lineRule="auto" w:before="60" w:after="60"/>
            </w:pPr>
            <w:r>
              <w:rPr>
                <w:sz w:val="22"/>
              </w:rPr>
              <w:t>9 outputs × 6,800 trials</w:t>
            </w:r>
          </w:p>
        </w:tc>
      </w:tr>
      <w:tr>
        <w:trPr>
          <w:cantSplit/>
        </w:trPr>
        <w:tc>
          <w:tcPr>
            <w:tcW w:type="dxa" w:w="3286"/>
            <w:vAlign w:val="center"/>
          </w:tcPr>
          <w:p>
            <w:pPr>
              <w:spacing w:line="264" w:lineRule="auto" w:before="60" w:after="60"/>
            </w:pPr>
            <w:r>
              <w:rPr>
                <w:sz w:val="22"/>
              </w:rPr>
              <w:t>Statistical participant pairs</w:t>
            </w:r>
          </w:p>
        </w:tc>
        <w:tc>
          <w:tcPr>
            <w:tcW w:type="dxa" w:w="3051"/>
            <w:vAlign w:val="center"/>
          </w:tcPr>
          <w:p>
            <w:pPr>
              <w:spacing w:line="264" w:lineRule="auto" w:before="60" w:after="60"/>
            </w:pPr>
            <w:r>
              <w:rPr>
                <w:sz w:val="22"/>
              </w:rPr>
              <w:t>85</w:t>
            </w:r>
          </w:p>
        </w:tc>
        <w:tc>
          <w:tcPr>
            <w:tcW w:type="dxa" w:w="3051"/>
            <w:vAlign w:val="center"/>
          </w:tcPr>
          <w:p>
            <w:pPr>
              <w:spacing w:line="264" w:lineRule="auto" w:before="60" w:after="60"/>
            </w:pPr>
            <w:r>
              <w:rPr>
                <w:sz w:val="22"/>
              </w:rPr>
              <w:t>Unit for every paired test</w:t>
            </w:r>
          </w:p>
        </w:tc>
      </w:tr>
    </w:tbl>
    <w:p/>
    <w:p>
      <w:r>
        <w:rPr/>
        <w:t>The audit verified update-count receipts and trajectory contracts. The sum of receipt updates is not a new independent inspection of optimizer internal state. The number of rows, checkpoints or seeds does not expand the inferential sample size beyond 85 participants.</w:t>
      </w:r>
    </w:p>
    <w:p>
      <w:r>
        <w:rPr/>
        <w:t xml:space="preserve">The four fixed inferential contrasts are reproduced in main Table 2 and </w:t>
      </w:r>
      <w:r>
        <w:rPr>
          <w:rFonts w:ascii="DejaVu Sans Mono" w:hAnsi="DejaVu Sans Mono"/>
          <w:sz w:val="20"/>
        </w:rPr>
        <w:t>tables/Table2_frozen_comparisons.csv</w:t>
      </w:r>
      <w:r>
        <w:rPr/>
        <w:t>. Their raw p values, Holm-adjusted secondary p values, pointwise t intervals and percentile-bootstrap intervals retain their original precision in S1 Data. CIs describe participant sampling conditional on the fitted trajectories and seed averages. They do not jointly quantify every source subset, initialization or acquisition-cohort uncertainty. No retrospective subgroup significance test, pipeline ranking test, noninferiority/equivalence margin or alternative selection criterion was introduced.</w:t>
      </w:r>
    </w:p>
    <w:p>
      <w:pPr>
        <w:pStyle w:val="Heading1"/>
      </w:pPr>
      <w:r>
        <w:rPr/>
        <w:t>6. Complete neural-condition tables</w:t>
      </w:r>
    </w:p>
    <w:p>
      <w:r>
        <w:rPr/>
        <w:t xml:space="preserve">The tables below retain every frozen neural rule under all three source configurations. Columns show selected epoch and external means for balanced accuracy (BA) and weaker-class recall (W), in percent. Comparisons beyond main Table 2 are descriptive. Full-precision means, standard deviations, t intervals and bootstrap intervals are provided in </w:t>
      </w:r>
      <w:r>
        <w:rPr>
          <w:rFonts w:ascii="DejaVu Sans Mono" w:hAnsi="DejaVu Sans Mono"/>
          <w:sz w:val="20"/>
        </w:rPr>
        <w:t>tables/S1_all_neural_condition_summaries.csv</w:t>
      </w:r>
      <w:r>
        <w:rPr/>
        <w:t xml:space="preserve"> and S1 Data.</w:t>
      </w:r>
    </w:p>
    <w:p>
      <w:r>
        <w:rPr>
          <w:b/>
        </w:rPr>
        <w:t>S3 Table. Complete BROAD selection conditions.</w:t>
      </w:r>
    </w:p>
    <w:tbl>
      <w:tblPr>
        <w:tblStyle w:val="TableGrid"/>
        <w:tblW w:type="auto" w:w="0"/>
        <w:jc w:val="center"/>
        <w:tblLayout w:type="fixed"/>
        <w:tblLook w:firstColumn="1" w:firstRow="1" w:lastColumn="0" w:lastRow="0" w:noHBand="0" w:noVBand="1" w:val="04A0"/>
      </w:tblPr>
      <w:tblGrid>
        <w:gridCol w:w="1878"/>
        <w:gridCol w:w="1878"/>
        <w:gridCol w:w="1878"/>
        <w:gridCol w:w="1878"/>
        <w:gridCol w:w="1878"/>
      </w:tblGrid>
      <w:tr>
        <w:trPr>
          <w:cantSplit/>
          <w:tblHeader/>
        </w:trPr>
        <w:tc>
          <w:tcPr>
            <w:tcW w:type="dxa" w:w="1878"/>
            <w:vAlign w:val="center"/>
          </w:tcPr>
          <w:p>
            <w:pPr>
              <w:spacing w:line="264" w:lineRule="auto" w:before="60" w:after="60"/>
            </w:pPr>
            <w:r>
              <w:rPr>
                <w:b/>
                <w:sz w:val="20"/>
              </w:rPr>
              <w:t>Source pool</w:t>
            </w:r>
          </w:p>
        </w:tc>
        <w:tc>
          <w:tcPr>
            <w:tcW w:type="dxa" w:w="1878"/>
            <w:vAlign w:val="center"/>
          </w:tcPr>
          <w:p>
            <w:pPr>
              <w:spacing w:line="264" w:lineRule="auto" w:before="60" w:after="60"/>
            </w:pPr>
            <w:r>
              <w:rPr>
                <w:b/>
                <w:sz w:val="20"/>
              </w:rPr>
              <w:t>Selection rule</w:t>
            </w:r>
          </w:p>
        </w:tc>
        <w:tc>
          <w:tcPr>
            <w:tcW w:type="dxa" w:w="1878"/>
            <w:vAlign w:val="center"/>
          </w:tcPr>
          <w:p>
            <w:pPr>
              <w:spacing w:line="264" w:lineRule="auto" w:before="60" w:after="60"/>
            </w:pPr>
            <w:r>
              <w:rPr>
                <w:b/>
                <w:sz w:val="20"/>
              </w:rPr>
              <w:t>Epoch</w:t>
            </w:r>
          </w:p>
        </w:tc>
        <w:tc>
          <w:tcPr>
            <w:tcW w:type="dxa" w:w="1878"/>
            <w:vAlign w:val="center"/>
          </w:tcPr>
          <w:p>
            <w:pPr>
              <w:spacing w:line="264" w:lineRule="auto" w:before="60" w:after="60"/>
            </w:pPr>
            <w:r>
              <w:rPr>
                <w:b/>
                <w:sz w:val="20"/>
              </w:rPr>
              <w:t>BA (%)</w:t>
            </w:r>
          </w:p>
        </w:tc>
        <w:tc>
          <w:tcPr>
            <w:tcW w:type="dxa" w:w="1878"/>
            <w:vAlign w:val="center"/>
          </w:tcPr>
          <w:p>
            <w:pPr>
              <w:spacing w:line="264" w:lineRule="auto" w:before="60" w:after="60"/>
            </w:pPr>
            <w:r>
              <w:rPr>
                <w:b/>
                <w:sz w:val="20"/>
              </w:rPr>
              <w:t>W (%)</w:t>
            </w:r>
          </w:p>
        </w:tc>
      </w:tr>
      <w:tr>
        <w:trPr>
          <w:cantSplit/>
        </w:trPr>
        <w:tc>
          <w:tcPr>
            <w:tcW w:type="dxa" w:w="1878"/>
            <w:vAlign w:val="center"/>
          </w:tcPr>
          <w:p>
            <w:pPr>
              <w:spacing w:line="264" w:lineRule="auto" w:before="60" w:after="60"/>
            </w:pPr>
            <w:r>
              <w:rPr>
                <w:sz w:val="20"/>
              </w:rPr>
              <w:t>S9</w:t>
            </w:r>
          </w:p>
        </w:tc>
        <w:tc>
          <w:tcPr>
            <w:tcW w:type="dxa" w:w="1878"/>
            <w:vAlign w:val="center"/>
          </w:tcPr>
          <w:p>
            <w:pPr>
              <w:spacing w:line="264" w:lineRule="auto" w:before="60" w:after="60"/>
            </w:pPr>
            <w:r>
              <w:rPr>
                <w:sz w:val="20"/>
              </w:rPr>
              <w:t>fixed20</w:t>
            </w:r>
          </w:p>
        </w:tc>
        <w:tc>
          <w:tcPr>
            <w:tcW w:type="dxa" w:w="1878"/>
            <w:vAlign w:val="center"/>
          </w:tcPr>
          <w:p>
            <w:pPr>
              <w:spacing w:line="264" w:lineRule="auto" w:before="60" w:after="60"/>
            </w:pPr>
            <w:r>
              <w:rPr>
                <w:sz w:val="20"/>
              </w:rPr>
              <w:t>20</w:t>
            </w:r>
          </w:p>
        </w:tc>
        <w:tc>
          <w:tcPr>
            <w:tcW w:type="dxa" w:w="1878"/>
            <w:vAlign w:val="center"/>
          </w:tcPr>
          <w:p>
            <w:pPr>
              <w:spacing w:line="264" w:lineRule="auto" w:before="60" w:after="60"/>
            </w:pPr>
            <w:r>
              <w:rPr>
                <w:sz w:val="20"/>
              </w:rPr>
              <w:t>58.6667</w:t>
            </w:r>
          </w:p>
        </w:tc>
        <w:tc>
          <w:tcPr>
            <w:tcW w:type="dxa" w:w="1878"/>
            <w:vAlign w:val="center"/>
          </w:tcPr>
          <w:p>
            <w:pPr>
              <w:spacing w:line="264" w:lineRule="auto" w:before="60" w:after="60"/>
            </w:pPr>
            <w:r>
              <w:rPr>
                <w:sz w:val="20"/>
              </w:rPr>
              <w:t>27.2451</w:t>
            </w:r>
          </w:p>
        </w:tc>
      </w:tr>
      <w:tr>
        <w:trPr>
          <w:cantSplit/>
        </w:trPr>
        <w:tc>
          <w:tcPr>
            <w:tcW w:type="dxa" w:w="1878"/>
            <w:vAlign w:val="center"/>
          </w:tcPr>
          <w:p>
            <w:pPr>
              <w:spacing w:line="264" w:lineRule="auto" w:before="60" w:after="60"/>
            </w:pPr>
            <w:r>
              <w:rPr>
                <w:sz w:val="20"/>
              </w:rPr>
              <w:t>S9</w:t>
            </w:r>
          </w:p>
        </w:tc>
        <w:tc>
          <w:tcPr>
            <w:tcW w:type="dxa" w:w="1878"/>
            <w:vAlign w:val="center"/>
          </w:tcPr>
          <w:p>
            <w:pPr>
              <w:spacing w:line="264" w:lineRule="auto" w:before="60" w:after="60"/>
            </w:pPr>
            <w:r>
              <w:rPr>
                <w:sz w:val="20"/>
              </w:rPr>
              <w:t>mean_ce</w:t>
            </w:r>
          </w:p>
        </w:tc>
        <w:tc>
          <w:tcPr>
            <w:tcW w:type="dxa" w:w="1878"/>
            <w:vAlign w:val="center"/>
          </w:tcPr>
          <w:p>
            <w:pPr>
              <w:spacing w:line="264" w:lineRule="auto" w:before="60" w:after="60"/>
            </w:pPr>
            <w:r>
              <w:rPr>
                <w:sz w:val="20"/>
              </w:rPr>
              <w:t>3</w:t>
            </w:r>
          </w:p>
        </w:tc>
        <w:tc>
          <w:tcPr>
            <w:tcW w:type="dxa" w:w="1878"/>
            <w:vAlign w:val="center"/>
          </w:tcPr>
          <w:p>
            <w:pPr>
              <w:spacing w:line="264" w:lineRule="auto" w:before="60" w:after="60"/>
            </w:pPr>
            <w:r>
              <w:rPr>
                <w:sz w:val="20"/>
              </w:rPr>
              <w:t>61.3235</w:t>
            </w:r>
          </w:p>
        </w:tc>
        <w:tc>
          <w:tcPr>
            <w:tcW w:type="dxa" w:w="1878"/>
            <w:vAlign w:val="center"/>
          </w:tcPr>
          <w:p>
            <w:pPr>
              <w:spacing w:line="264" w:lineRule="auto" w:before="60" w:after="60"/>
            </w:pPr>
            <w:r>
              <w:rPr>
                <w:sz w:val="20"/>
              </w:rPr>
              <w:t>38.5980</w:t>
            </w:r>
          </w:p>
        </w:tc>
      </w:tr>
      <w:tr>
        <w:trPr>
          <w:cantSplit/>
        </w:trPr>
        <w:tc>
          <w:tcPr>
            <w:tcW w:type="dxa" w:w="1878"/>
            <w:vAlign w:val="center"/>
          </w:tcPr>
          <w:p>
            <w:pPr>
              <w:spacing w:line="264" w:lineRule="auto" w:before="60" w:after="60"/>
            </w:pPr>
            <w:r>
              <w:rPr>
                <w:sz w:val="20"/>
              </w:rPr>
              <w:t>S9</w:t>
            </w:r>
          </w:p>
        </w:tc>
        <w:tc>
          <w:tcPr>
            <w:tcW w:type="dxa" w:w="1878"/>
            <w:vAlign w:val="center"/>
          </w:tcPr>
          <w:p>
            <w:pPr>
              <w:spacing w:line="264" w:lineRule="auto" w:before="60" w:after="60"/>
            </w:pPr>
            <w:r>
              <w:rPr>
                <w:sz w:val="20"/>
              </w:rPr>
              <w:t>mean_rank</w:t>
            </w:r>
          </w:p>
        </w:tc>
        <w:tc>
          <w:tcPr>
            <w:tcW w:type="dxa" w:w="1878"/>
            <w:vAlign w:val="center"/>
          </w:tcPr>
          <w:p>
            <w:pPr>
              <w:spacing w:line="264" w:lineRule="auto" w:before="60" w:after="60"/>
            </w:pPr>
            <w:r>
              <w:rPr>
                <w:sz w:val="20"/>
              </w:rPr>
              <w:t>8</w:t>
            </w:r>
          </w:p>
        </w:tc>
        <w:tc>
          <w:tcPr>
            <w:tcW w:type="dxa" w:w="1878"/>
            <w:vAlign w:val="center"/>
          </w:tcPr>
          <w:p>
            <w:pPr>
              <w:spacing w:line="264" w:lineRule="auto" w:before="60" w:after="60"/>
            </w:pPr>
            <w:r>
              <w:rPr>
                <w:sz w:val="20"/>
              </w:rPr>
              <w:t>61.5392</w:t>
            </w:r>
          </w:p>
        </w:tc>
        <w:tc>
          <w:tcPr>
            <w:tcW w:type="dxa" w:w="1878"/>
            <w:vAlign w:val="center"/>
          </w:tcPr>
          <w:p>
            <w:pPr>
              <w:spacing w:line="264" w:lineRule="auto" w:before="60" w:after="60"/>
            </w:pPr>
            <w:r>
              <w:rPr>
                <w:sz w:val="20"/>
              </w:rPr>
              <w:t>39.3333</w:t>
            </w:r>
          </w:p>
        </w:tc>
      </w:tr>
      <w:tr>
        <w:trPr>
          <w:cantSplit/>
        </w:trPr>
        <w:tc>
          <w:tcPr>
            <w:tcW w:type="dxa" w:w="1878"/>
            <w:vAlign w:val="center"/>
          </w:tcPr>
          <w:p>
            <w:pPr>
              <w:spacing w:line="264" w:lineRule="auto" w:before="60" w:after="60"/>
            </w:pPr>
            <w:r>
              <w:rPr>
                <w:sz w:val="20"/>
              </w:rPr>
              <w:t>S9</w:t>
            </w:r>
          </w:p>
        </w:tc>
        <w:tc>
          <w:tcPr>
            <w:tcW w:type="dxa" w:w="1878"/>
            <w:vAlign w:val="center"/>
          </w:tcPr>
          <w:p>
            <w:pPr>
              <w:spacing w:line="264" w:lineRule="auto" w:before="60" w:after="60"/>
            </w:pPr>
            <w:r>
              <w:rPr>
                <w:sz w:val="20"/>
              </w:rPr>
              <w:t>mean_ba</w:t>
            </w:r>
          </w:p>
        </w:tc>
        <w:tc>
          <w:tcPr>
            <w:tcW w:type="dxa" w:w="1878"/>
            <w:vAlign w:val="center"/>
          </w:tcPr>
          <w:p>
            <w:pPr>
              <w:spacing w:line="264" w:lineRule="auto" w:before="60" w:after="60"/>
            </w:pPr>
            <w:r>
              <w:rPr>
                <w:sz w:val="20"/>
              </w:rPr>
              <w:t>27</w:t>
            </w:r>
          </w:p>
        </w:tc>
        <w:tc>
          <w:tcPr>
            <w:tcW w:type="dxa" w:w="1878"/>
            <w:vAlign w:val="center"/>
          </w:tcPr>
          <w:p>
            <w:pPr>
              <w:spacing w:line="264" w:lineRule="auto" w:before="60" w:after="60"/>
            </w:pPr>
            <w:r>
              <w:rPr>
                <w:sz w:val="20"/>
              </w:rPr>
              <w:t>58.3186</w:t>
            </w:r>
          </w:p>
        </w:tc>
        <w:tc>
          <w:tcPr>
            <w:tcW w:type="dxa" w:w="1878"/>
            <w:vAlign w:val="center"/>
          </w:tcPr>
          <w:p>
            <w:pPr>
              <w:spacing w:line="264" w:lineRule="auto" w:before="60" w:after="60"/>
            </w:pPr>
            <w:r>
              <w:rPr>
                <w:sz w:val="20"/>
              </w:rPr>
              <w:t>27.3137</w:t>
            </w:r>
          </w:p>
        </w:tc>
      </w:tr>
      <w:tr>
        <w:trPr>
          <w:cantSplit/>
        </w:trPr>
        <w:tc>
          <w:tcPr>
            <w:tcW w:type="dxa" w:w="1878"/>
            <w:vAlign w:val="center"/>
          </w:tcPr>
          <w:p>
            <w:pPr>
              <w:spacing w:line="264" w:lineRule="auto" w:before="60" w:after="60"/>
            </w:pPr>
            <w:r>
              <w:rPr>
                <w:sz w:val="20"/>
              </w:rPr>
              <w:t>S9</w:t>
            </w:r>
          </w:p>
        </w:tc>
        <w:tc>
          <w:tcPr>
            <w:tcW w:type="dxa" w:w="1878"/>
            <w:vAlign w:val="center"/>
          </w:tcPr>
          <w:p>
            <w:pPr>
              <w:spacing w:line="264" w:lineRule="auto" w:before="60" w:after="60"/>
            </w:pPr>
            <w:r>
              <w:rPr>
                <w:sz w:val="20"/>
              </w:rPr>
              <w:t>tail_ce</w:t>
            </w:r>
          </w:p>
        </w:tc>
        <w:tc>
          <w:tcPr>
            <w:tcW w:type="dxa" w:w="1878"/>
            <w:vAlign w:val="center"/>
          </w:tcPr>
          <w:p>
            <w:pPr>
              <w:spacing w:line="264" w:lineRule="auto" w:before="60" w:after="60"/>
            </w:pPr>
            <w:r>
              <w:rPr>
                <w:sz w:val="20"/>
              </w:rPr>
              <w:t>3</w:t>
            </w:r>
          </w:p>
        </w:tc>
        <w:tc>
          <w:tcPr>
            <w:tcW w:type="dxa" w:w="1878"/>
            <w:vAlign w:val="center"/>
          </w:tcPr>
          <w:p>
            <w:pPr>
              <w:spacing w:line="264" w:lineRule="auto" w:before="60" w:after="60"/>
            </w:pPr>
            <w:r>
              <w:rPr>
                <w:sz w:val="20"/>
              </w:rPr>
              <w:t>61.3235</w:t>
            </w:r>
          </w:p>
        </w:tc>
        <w:tc>
          <w:tcPr>
            <w:tcW w:type="dxa" w:w="1878"/>
            <w:vAlign w:val="center"/>
          </w:tcPr>
          <w:p>
            <w:pPr>
              <w:spacing w:line="264" w:lineRule="auto" w:before="60" w:after="60"/>
            </w:pPr>
            <w:r>
              <w:rPr>
                <w:sz w:val="20"/>
              </w:rPr>
              <w:t>38.5980</w:t>
            </w:r>
          </w:p>
        </w:tc>
      </w:tr>
      <w:tr>
        <w:trPr>
          <w:cantSplit/>
        </w:trPr>
        <w:tc>
          <w:tcPr>
            <w:tcW w:type="dxa" w:w="1878"/>
            <w:vAlign w:val="center"/>
          </w:tcPr>
          <w:p>
            <w:pPr>
              <w:spacing w:line="264" w:lineRule="auto" w:before="60" w:after="60"/>
            </w:pPr>
            <w:r>
              <w:rPr>
                <w:sz w:val="20"/>
              </w:rPr>
              <w:t>S9</w:t>
            </w:r>
          </w:p>
        </w:tc>
        <w:tc>
          <w:tcPr>
            <w:tcW w:type="dxa" w:w="1878"/>
            <w:vAlign w:val="center"/>
          </w:tcPr>
          <w:p>
            <w:pPr>
              <w:spacing w:line="264" w:lineRule="auto" w:before="60" w:after="60"/>
            </w:pPr>
            <w:r>
              <w:rPr>
                <w:sz w:val="20"/>
              </w:rPr>
              <w:t>tail_ba</w:t>
            </w:r>
          </w:p>
        </w:tc>
        <w:tc>
          <w:tcPr>
            <w:tcW w:type="dxa" w:w="1878"/>
            <w:vAlign w:val="center"/>
          </w:tcPr>
          <w:p>
            <w:pPr>
              <w:spacing w:line="264" w:lineRule="auto" w:before="60" w:after="60"/>
            </w:pPr>
            <w:r>
              <w:rPr>
                <w:sz w:val="20"/>
              </w:rPr>
              <w:t>27</w:t>
            </w:r>
          </w:p>
        </w:tc>
        <w:tc>
          <w:tcPr>
            <w:tcW w:type="dxa" w:w="1878"/>
            <w:vAlign w:val="center"/>
          </w:tcPr>
          <w:p>
            <w:pPr>
              <w:spacing w:line="264" w:lineRule="auto" w:before="60" w:after="60"/>
            </w:pPr>
            <w:r>
              <w:rPr>
                <w:sz w:val="20"/>
              </w:rPr>
              <w:t>58.3186</w:t>
            </w:r>
          </w:p>
        </w:tc>
        <w:tc>
          <w:tcPr>
            <w:tcW w:type="dxa" w:w="1878"/>
            <w:vAlign w:val="center"/>
          </w:tcPr>
          <w:p>
            <w:pPr>
              <w:spacing w:line="264" w:lineRule="auto" w:before="60" w:after="60"/>
            </w:pPr>
            <w:r>
              <w:rPr>
                <w:sz w:val="20"/>
              </w:rPr>
              <w:t>27.3137</w:t>
            </w:r>
          </w:p>
        </w:tc>
      </w:tr>
      <w:tr>
        <w:trPr>
          <w:cantSplit/>
        </w:trPr>
        <w:tc>
          <w:tcPr>
            <w:tcW w:type="dxa" w:w="1878"/>
            <w:vAlign w:val="center"/>
          </w:tcPr>
          <w:p>
            <w:pPr>
              <w:spacing w:line="264" w:lineRule="auto" w:before="60" w:after="60"/>
            </w:pPr>
            <w:r>
              <w:rPr>
                <w:sz w:val="20"/>
              </w:rPr>
              <w:t>S9</w:t>
            </w:r>
          </w:p>
        </w:tc>
        <w:tc>
          <w:tcPr>
            <w:tcW w:type="dxa" w:w="1878"/>
            <w:vAlign w:val="center"/>
          </w:tcPr>
          <w:p>
            <w:pPr>
              <w:spacing w:line="264" w:lineRule="auto" w:before="60" w:after="60"/>
            </w:pPr>
            <w:r>
              <w:rPr>
                <w:sz w:val="20"/>
              </w:rPr>
              <w:t>mean_min_recall</w:t>
            </w:r>
          </w:p>
        </w:tc>
        <w:tc>
          <w:tcPr>
            <w:tcW w:type="dxa" w:w="1878"/>
            <w:vAlign w:val="center"/>
          </w:tcPr>
          <w:p>
            <w:pPr>
              <w:spacing w:line="264" w:lineRule="auto" w:before="60" w:after="60"/>
            </w:pPr>
            <w:r>
              <w:rPr>
                <w:sz w:val="20"/>
              </w:rPr>
              <w:t>27</w:t>
            </w:r>
          </w:p>
        </w:tc>
        <w:tc>
          <w:tcPr>
            <w:tcW w:type="dxa" w:w="1878"/>
            <w:vAlign w:val="center"/>
          </w:tcPr>
          <w:p>
            <w:pPr>
              <w:spacing w:line="264" w:lineRule="auto" w:before="60" w:after="60"/>
            </w:pPr>
            <w:r>
              <w:rPr>
                <w:sz w:val="20"/>
              </w:rPr>
              <w:t>58.3186</w:t>
            </w:r>
          </w:p>
        </w:tc>
        <w:tc>
          <w:tcPr>
            <w:tcW w:type="dxa" w:w="1878"/>
            <w:vAlign w:val="center"/>
          </w:tcPr>
          <w:p>
            <w:pPr>
              <w:spacing w:line="264" w:lineRule="auto" w:before="60" w:after="60"/>
            </w:pPr>
            <w:r>
              <w:rPr>
                <w:sz w:val="20"/>
              </w:rPr>
              <w:t>27.3137</w:t>
            </w:r>
          </w:p>
        </w:tc>
      </w:tr>
      <w:tr>
        <w:trPr>
          <w:cantSplit/>
        </w:trPr>
        <w:tc>
          <w:tcPr>
            <w:tcW w:type="dxa" w:w="1878"/>
            <w:vAlign w:val="center"/>
          </w:tcPr>
          <w:p>
            <w:pPr>
              <w:spacing w:line="264" w:lineRule="auto" w:before="60" w:after="60"/>
            </w:pPr>
            <w:r>
              <w:rPr>
                <w:sz w:val="20"/>
              </w:rPr>
              <w:t>S9</w:t>
            </w:r>
          </w:p>
        </w:tc>
        <w:tc>
          <w:tcPr>
            <w:tcW w:type="dxa" w:w="1878"/>
            <w:vAlign w:val="center"/>
          </w:tcPr>
          <w:p>
            <w:pPr>
              <w:spacing w:line="264" w:lineRule="auto" w:before="60" w:after="60"/>
            </w:pPr>
            <w:r>
              <w:rPr>
                <w:sz w:val="20"/>
              </w:rPr>
              <w:t>tail_min_recall</w:t>
            </w:r>
          </w:p>
        </w:tc>
        <w:tc>
          <w:tcPr>
            <w:tcW w:type="dxa" w:w="1878"/>
            <w:vAlign w:val="center"/>
          </w:tcPr>
          <w:p>
            <w:pPr>
              <w:spacing w:line="264" w:lineRule="auto" w:before="60" w:after="60"/>
            </w:pPr>
            <w:r>
              <w:rPr>
                <w:sz w:val="20"/>
              </w:rPr>
              <w:t>27</w:t>
            </w:r>
          </w:p>
        </w:tc>
        <w:tc>
          <w:tcPr>
            <w:tcW w:type="dxa" w:w="1878"/>
            <w:vAlign w:val="center"/>
          </w:tcPr>
          <w:p>
            <w:pPr>
              <w:spacing w:line="264" w:lineRule="auto" w:before="60" w:after="60"/>
            </w:pPr>
            <w:r>
              <w:rPr>
                <w:sz w:val="20"/>
              </w:rPr>
              <w:t>58.3186</w:t>
            </w:r>
          </w:p>
        </w:tc>
        <w:tc>
          <w:tcPr>
            <w:tcW w:type="dxa" w:w="1878"/>
            <w:vAlign w:val="center"/>
          </w:tcPr>
          <w:p>
            <w:pPr>
              <w:spacing w:line="264" w:lineRule="auto" w:before="60" w:after="60"/>
            </w:pPr>
            <w:r>
              <w:rPr>
                <w:sz w:val="20"/>
              </w:rPr>
              <w:t>27.3137</w:t>
            </w:r>
          </w:p>
        </w:tc>
      </w:tr>
      <w:tr>
        <w:trPr>
          <w:cantSplit/>
        </w:trPr>
        <w:tc>
          <w:tcPr>
            <w:tcW w:type="dxa" w:w="1878"/>
            <w:vAlign w:val="center"/>
          </w:tcPr>
          <w:p>
            <w:pPr>
              <w:spacing w:line="264" w:lineRule="auto" w:before="60" w:after="60"/>
            </w:pPr>
            <w:r>
              <w:rPr>
                <w:sz w:val="20"/>
              </w:rPr>
              <w:t>S29</w:t>
            </w:r>
          </w:p>
        </w:tc>
        <w:tc>
          <w:tcPr>
            <w:tcW w:type="dxa" w:w="1878"/>
            <w:vAlign w:val="center"/>
          </w:tcPr>
          <w:p>
            <w:pPr>
              <w:spacing w:line="264" w:lineRule="auto" w:before="60" w:after="60"/>
            </w:pPr>
            <w:r>
              <w:rPr>
                <w:sz w:val="20"/>
              </w:rPr>
              <w:t>fixed20</w:t>
            </w:r>
          </w:p>
        </w:tc>
        <w:tc>
          <w:tcPr>
            <w:tcW w:type="dxa" w:w="1878"/>
            <w:vAlign w:val="center"/>
          </w:tcPr>
          <w:p>
            <w:pPr>
              <w:spacing w:line="264" w:lineRule="auto" w:before="60" w:after="60"/>
            </w:pPr>
            <w:r>
              <w:rPr>
                <w:sz w:val="20"/>
              </w:rPr>
              <w:t>20</w:t>
            </w:r>
          </w:p>
        </w:tc>
        <w:tc>
          <w:tcPr>
            <w:tcW w:type="dxa" w:w="1878"/>
            <w:vAlign w:val="center"/>
          </w:tcPr>
          <w:p>
            <w:pPr>
              <w:spacing w:line="264" w:lineRule="auto" w:before="60" w:after="60"/>
            </w:pPr>
            <w:r>
              <w:rPr>
                <w:sz w:val="20"/>
              </w:rPr>
              <w:t>64.0784</w:t>
            </w:r>
          </w:p>
        </w:tc>
        <w:tc>
          <w:tcPr>
            <w:tcW w:type="dxa" w:w="1878"/>
            <w:vAlign w:val="center"/>
          </w:tcPr>
          <w:p>
            <w:pPr>
              <w:spacing w:line="264" w:lineRule="auto" w:before="60" w:after="60"/>
            </w:pPr>
            <w:r>
              <w:rPr>
                <w:sz w:val="20"/>
              </w:rPr>
              <w:t>48.3725</w:t>
            </w:r>
          </w:p>
        </w:tc>
      </w:tr>
      <w:tr>
        <w:trPr>
          <w:cantSplit/>
        </w:trPr>
        <w:tc>
          <w:tcPr>
            <w:tcW w:type="dxa" w:w="1878"/>
            <w:vAlign w:val="center"/>
          </w:tcPr>
          <w:p>
            <w:pPr>
              <w:spacing w:line="264" w:lineRule="auto" w:before="60" w:after="60"/>
            </w:pPr>
            <w:r>
              <w:rPr>
                <w:sz w:val="20"/>
              </w:rPr>
              <w:t>S29</w:t>
            </w:r>
          </w:p>
        </w:tc>
        <w:tc>
          <w:tcPr>
            <w:tcW w:type="dxa" w:w="1878"/>
            <w:vAlign w:val="center"/>
          </w:tcPr>
          <w:p>
            <w:pPr>
              <w:spacing w:line="264" w:lineRule="auto" w:before="60" w:after="60"/>
            </w:pPr>
            <w:r>
              <w:rPr>
                <w:sz w:val="20"/>
              </w:rPr>
              <w:t>mean_ce</w:t>
            </w:r>
          </w:p>
        </w:tc>
        <w:tc>
          <w:tcPr>
            <w:tcW w:type="dxa" w:w="1878"/>
            <w:vAlign w:val="center"/>
          </w:tcPr>
          <w:p>
            <w:pPr>
              <w:spacing w:line="264" w:lineRule="auto" w:before="60" w:after="60"/>
            </w:pPr>
            <w:r>
              <w:rPr>
                <w:sz w:val="20"/>
              </w:rPr>
              <w:t>5</w:t>
            </w:r>
          </w:p>
        </w:tc>
        <w:tc>
          <w:tcPr>
            <w:tcW w:type="dxa" w:w="1878"/>
            <w:vAlign w:val="center"/>
          </w:tcPr>
          <w:p>
            <w:pPr>
              <w:spacing w:line="264" w:lineRule="auto" w:before="60" w:after="60"/>
            </w:pPr>
            <w:r>
              <w:rPr>
                <w:sz w:val="20"/>
              </w:rPr>
              <w:t>64.1078</w:t>
            </w:r>
          </w:p>
        </w:tc>
        <w:tc>
          <w:tcPr>
            <w:tcW w:type="dxa" w:w="1878"/>
            <w:vAlign w:val="center"/>
          </w:tcPr>
          <w:p>
            <w:pPr>
              <w:spacing w:line="264" w:lineRule="auto" w:before="60" w:after="60"/>
            </w:pPr>
            <w:r>
              <w:rPr>
                <w:sz w:val="20"/>
              </w:rPr>
              <w:t>49.0294</w:t>
            </w:r>
          </w:p>
        </w:tc>
      </w:tr>
      <w:tr>
        <w:trPr>
          <w:cantSplit/>
        </w:trPr>
        <w:tc>
          <w:tcPr>
            <w:tcW w:type="dxa" w:w="1878"/>
            <w:vAlign w:val="center"/>
          </w:tcPr>
          <w:p>
            <w:pPr>
              <w:spacing w:line="264" w:lineRule="auto" w:before="60" w:after="60"/>
            </w:pPr>
            <w:r>
              <w:rPr>
                <w:sz w:val="20"/>
              </w:rPr>
              <w:t>S29</w:t>
            </w:r>
          </w:p>
        </w:tc>
        <w:tc>
          <w:tcPr>
            <w:tcW w:type="dxa" w:w="1878"/>
            <w:vAlign w:val="center"/>
          </w:tcPr>
          <w:p>
            <w:pPr>
              <w:spacing w:line="264" w:lineRule="auto" w:before="60" w:after="60"/>
            </w:pPr>
            <w:r>
              <w:rPr>
                <w:sz w:val="20"/>
              </w:rPr>
              <w:t>mean_rank</w:t>
            </w:r>
          </w:p>
        </w:tc>
        <w:tc>
          <w:tcPr>
            <w:tcW w:type="dxa" w:w="1878"/>
            <w:vAlign w:val="center"/>
          </w:tcPr>
          <w:p>
            <w:pPr>
              <w:spacing w:line="264" w:lineRule="auto" w:before="60" w:after="60"/>
            </w:pPr>
            <w:r>
              <w:rPr>
                <w:sz w:val="20"/>
              </w:rPr>
              <w:t>5</w:t>
            </w:r>
          </w:p>
        </w:tc>
        <w:tc>
          <w:tcPr>
            <w:tcW w:type="dxa" w:w="1878"/>
            <w:vAlign w:val="center"/>
          </w:tcPr>
          <w:p>
            <w:pPr>
              <w:spacing w:line="264" w:lineRule="auto" w:before="60" w:after="60"/>
            </w:pPr>
            <w:r>
              <w:rPr>
                <w:sz w:val="20"/>
              </w:rPr>
              <w:t>64.1078</w:t>
            </w:r>
          </w:p>
        </w:tc>
        <w:tc>
          <w:tcPr>
            <w:tcW w:type="dxa" w:w="1878"/>
            <w:vAlign w:val="center"/>
          </w:tcPr>
          <w:p>
            <w:pPr>
              <w:spacing w:line="264" w:lineRule="auto" w:before="60" w:after="60"/>
            </w:pPr>
            <w:r>
              <w:rPr>
                <w:sz w:val="20"/>
              </w:rPr>
              <w:t>49.0294</w:t>
            </w:r>
          </w:p>
        </w:tc>
      </w:tr>
      <w:tr>
        <w:trPr>
          <w:cantSplit/>
        </w:trPr>
        <w:tc>
          <w:tcPr>
            <w:tcW w:type="dxa" w:w="1878"/>
            <w:vAlign w:val="center"/>
          </w:tcPr>
          <w:p>
            <w:pPr>
              <w:spacing w:line="264" w:lineRule="auto" w:before="60" w:after="60"/>
            </w:pPr>
            <w:r>
              <w:rPr>
                <w:sz w:val="20"/>
              </w:rPr>
              <w:t>S29</w:t>
            </w:r>
          </w:p>
        </w:tc>
        <w:tc>
          <w:tcPr>
            <w:tcW w:type="dxa" w:w="1878"/>
            <w:vAlign w:val="center"/>
          </w:tcPr>
          <w:p>
            <w:pPr>
              <w:spacing w:line="264" w:lineRule="auto" w:before="60" w:after="60"/>
            </w:pPr>
            <w:r>
              <w:rPr>
                <w:sz w:val="20"/>
              </w:rPr>
              <w:t>mean_ba</w:t>
            </w:r>
          </w:p>
        </w:tc>
        <w:tc>
          <w:tcPr>
            <w:tcW w:type="dxa" w:w="1878"/>
            <w:vAlign w:val="center"/>
          </w:tcPr>
          <w:p>
            <w:pPr>
              <w:spacing w:line="264" w:lineRule="auto" w:before="60" w:after="60"/>
            </w:pPr>
            <w:r>
              <w:rPr>
                <w:sz w:val="20"/>
              </w:rPr>
              <w:t>26</w:t>
            </w:r>
          </w:p>
        </w:tc>
        <w:tc>
          <w:tcPr>
            <w:tcW w:type="dxa" w:w="1878"/>
            <w:vAlign w:val="center"/>
          </w:tcPr>
          <w:p>
            <w:pPr>
              <w:spacing w:line="264" w:lineRule="auto" w:before="60" w:after="60"/>
            </w:pPr>
            <w:r>
              <w:rPr>
                <w:sz w:val="20"/>
              </w:rPr>
              <w:t>63.0539</w:t>
            </w:r>
          </w:p>
        </w:tc>
        <w:tc>
          <w:tcPr>
            <w:tcW w:type="dxa" w:w="1878"/>
            <w:vAlign w:val="center"/>
          </w:tcPr>
          <w:p>
            <w:pPr>
              <w:spacing w:line="264" w:lineRule="auto" w:before="60" w:after="60"/>
            </w:pPr>
            <w:r>
              <w:rPr>
                <w:sz w:val="20"/>
              </w:rPr>
              <w:t>43.4314</w:t>
            </w:r>
          </w:p>
        </w:tc>
      </w:tr>
      <w:tr>
        <w:trPr>
          <w:cantSplit/>
        </w:trPr>
        <w:tc>
          <w:tcPr>
            <w:tcW w:type="dxa" w:w="1878"/>
            <w:vAlign w:val="center"/>
          </w:tcPr>
          <w:p>
            <w:pPr>
              <w:spacing w:line="264" w:lineRule="auto" w:before="60" w:after="60"/>
            </w:pPr>
            <w:r>
              <w:rPr>
                <w:sz w:val="20"/>
              </w:rPr>
              <w:t>S29</w:t>
            </w:r>
          </w:p>
        </w:tc>
        <w:tc>
          <w:tcPr>
            <w:tcW w:type="dxa" w:w="1878"/>
            <w:vAlign w:val="center"/>
          </w:tcPr>
          <w:p>
            <w:pPr>
              <w:spacing w:line="264" w:lineRule="auto" w:before="60" w:after="60"/>
            </w:pPr>
            <w:r>
              <w:rPr>
                <w:sz w:val="20"/>
              </w:rPr>
              <w:t>tail_ce</w:t>
            </w:r>
          </w:p>
        </w:tc>
        <w:tc>
          <w:tcPr>
            <w:tcW w:type="dxa" w:w="1878"/>
            <w:vAlign w:val="center"/>
          </w:tcPr>
          <w:p>
            <w:pPr>
              <w:spacing w:line="264" w:lineRule="auto" w:before="60" w:after="60"/>
            </w:pPr>
            <w:r>
              <w:rPr>
                <w:sz w:val="20"/>
              </w:rPr>
              <w:t>1</w:t>
            </w:r>
          </w:p>
        </w:tc>
        <w:tc>
          <w:tcPr>
            <w:tcW w:type="dxa" w:w="1878"/>
            <w:vAlign w:val="center"/>
          </w:tcPr>
          <w:p>
            <w:pPr>
              <w:spacing w:line="264" w:lineRule="auto" w:before="60" w:after="60"/>
            </w:pPr>
            <w:r>
              <w:rPr>
                <w:sz w:val="20"/>
              </w:rPr>
              <w:t>54.5931</w:t>
            </w:r>
          </w:p>
        </w:tc>
        <w:tc>
          <w:tcPr>
            <w:tcW w:type="dxa" w:w="1878"/>
            <w:vAlign w:val="center"/>
          </w:tcPr>
          <w:p>
            <w:pPr>
              <w:spacing w:line="264" w:lineRule="auto" w:before="60" w:after="60"/>
            </w:pPr>
            <w:r>
              <w:rPr>
                <w:sz w:val="20"/>
              </w:rPr>
              <w:t>13.6667</w:t>
            </w:r>
          </w:p>
        </w:tc>
      </w:tr>
      <w:tr>
        <w:trPr>
          <w:cantSplit/>
        </w:trPr>
        <w:tc>
          <w:tcPr>
            <w:tcW w:type="dxa" w:w="1878"/>
            <w:vAlign w:val="center"/>
          </w:tcPr>
          <w:p>
            <w:pPr>
              <w:spacing w:line="264" w:lineRule="auto" w:before="60" w:after="60"/>
            </w:pPr>
            <w:r>
              <w:rPr>
                <w:sz w:val="20"/>
              </w:rPr>
              <w:t>S29</w:t>
            </w:r>
          </w:p>
        </w:tc>
        <w:tc>
          <w:tcPr>
            <w:tcW w:type="dxa" w:w="1878"/>
            <w:vAlign w:val="center"/>
          </w:tcPr>
          <w:p>
            <w:pPr>
              <w:spacing w:line="264" w:lineRule="auto" w:before="60" w:after="60"/>
            </w:pPr>
            <w:r>
              <w:rPr>
                <w:sz w:val="20"/>
              </w:rPr>
              <w:t>tail_ba</w:t>
            </w:r>
          </w:p>
        </w:tc>
        <w:tc>
          <w:tcPr>
            <w:tcW w:type="dxa" w:w="1878"/>
            <w:vAlign w:val="center"/>
          </w:tcPr>
          <w:p>
            <w:pPr>
              <w:spacing w:line="264" w:lineRule="auto" w:before="60" w:after="60"/>
            </w:pPr>
            <w:r>
              <w:rPr>
                <w:sz w:val="20"/>
              </w:rPr>
              <w:t>39</w:t>
            </w:r>
          </w:p>
        </w:tc>
        <w:tc>
          <w:tcPr>
            <w:tcW w:type="dxa" w:w="1878"/>
            <w:vAlign w:val="center"/>
          </w:tcPr>
          <w:p>
            <w:pPr>
              <w:spacing w:line="264" w:lineRule="auto" w:before="60" w:after="60"/>
            </w:pPr>
            <w:r>
              <w:rPr>
                <w:sz w:val="20"/>
              </w:rPr>
              <w:t>62.2696</w:t>
            </w:r>
          </w:p>
        </w:tc>
        <w:tc>
          <w:tcPr>
            <w:tcW w:type="dxa" w:w="1878"/>
            <w:vAlign w:val="center"/>
          </w:tcPr>
          <w:p>
            <w:pPr>
              <w:spacing w:line="264" w:lineRule="auto" w:before="60" w:after="60"/>
            </w:pPr>
            <w:r>
              <w:rPr>
                <w:sz w:val="20"/>
              </w:rPr>
              <w:t>40.8824</w:t>
            </w:r>
          </w:p>
        </w:tc>
      </w:tr>
      <w:tr>
        <w:trPr>
          <w:cantSplit/>
        </w:trPr>
        <w:tc>
          <w:tcPr>
            <w:tcW w:type="dxa" w:w="1878"/>
            <w:vAlign w:val="center"/>
          </w:tcPr>
          <w:p>
            <w:pPr>
              <w:spacing w:line="264" w:lineRule="auto" w:before="60" w:after="60"/>
            </w:pPr>
            <w:r>
              <w:rPr>
                <w:sz w:val="20"/>
              </w:rPr>
              <w:t>S29</w:t>
            </w:r>
          </w:p>
        </w:tc>
        <w:tc>
          <w:tcPr>
            <w:tcW w:type="dxa" w:w="1878"/>
            <w:vAlign w:val="center"/>
          </w:tcPr>
          <w:p>
            <w:pPr>
              <w:spacing w:line="264" w:lineRule="auto" w:before="60" w:after="60"/>
            </w:pPr>
            <w:r>
              <w:rPr>
                <w:sz w:val="20"/>
              </w:rPr>
              <w:t>mean_min_recall</w:t>
            </w:r>
          </w:p>
        </w:tc>
        <w:tc>
          <w:tcPr>
            <w:tcW w:type="dxa" w:w="1878"/>
            <w:vAlign w:val="center"/>
          </w:tcPr>
          <w:p>
            <w:pPr>
              <w:spacing w:line="264" w:lineRule="auto" w:before="60" w:after="60"/>
            </w:pPr>
            <w:r>
              <w:rPr>
                <w:sz w:val="20"/>
              </w:rPr>
              <w:t>5</w:t>
            </w:r>
          </w:p>
        </w:tc>
        <w:tc>
          <w:tcPr>
            <w:tcW w:type="dxa" w:w="1878"/>
            <w:vAlign w:val="center"/>
          </w:tcPr>
          <w:p>
            <w:pPr>
              <w:spacing w:line="264" w:lineRule="auto" w:before="60" w:after="60"/>
            </w:pPr>
            <w:r>
              <w:rPr>
                <w:sz w:val="20"/>
              </w:rPr>
              <w:t>64.1078</w:t>
            </w:r>
          </w:p>
        </w:tc>
        <w:tc>
          <w:tcPr>
            <w:tcW w:type="dxa" w:w="1878"/>
            <w:vAlign w:val="center"/>
          </w:tcPr>
          <w:p>
            <w:pPr>
              <w:spacing w:line="264" w:lineRule="auto" w:before="60" w:after="60"/>
            </w:pPr>
            <w:r>
              <w:rPr>
                <w:sz w:val="20"/>
              </w:rPr>
              <w:t>49.0294</w:t>
            </w:r>
          </w:p>
        </w:tc>
      </w:tr>
      <w:tr>
        <w:trPr>
          <w:cantSplit/>
        </w:trPr>
        <w:tc>
          <w:tcPr>
            <w:tcW w:type="dxa" w:w="1878"/>
            <w:vAlign w:val="center"/>
          </w:tcPr>
          <w:p>
            <w:pPr>
              <w:spacing w:line="264" w:lineRule="auto" w:before="60" w:after="60"/>
            </w:pPr>
            <w:r>
              <w:rPr>
                <w:sz w:val="20"/>
              </w:rPr>
              <w:t>S29</w:t>
            </w:r>
          </w:p>
        </w:tc>
        <w:tc>
          <w:tcPr>
            <w:tcW w:type="dxa" w:w="1878"/>
            <w:vAlign w:val="center"/>
          </w:tcPr>
          <w:p>
            <w:pPr>
              <w:spacing w:line="264" w:lineRule="auto" w:before="60" w:after="60"/>
            </w:pPr>
            <w:r>
              <w:rPr>
                <w:sz w:val="20"/>
              </w:rPr>
              <w:t>tail_min_recall</w:t>
            </w:r>
          </w:p>
        </w:tc>
        <w:tc>
          <w:tcPr>
            <w:tcW w:type="dxa" w:w="1878"/>
            <w:vAlign w:val="center"/>
          </w:tcPr>
          <w:p>
            <w:pPr>
              <w:spacing w:line="264" w:lineRule="auto" w:before="60" w:after="60"/>
            </w:pPr>
            <w:r>
              <w:rPr>
                <w:sz w:val="20"/>
              </w:rPr>
              <w:t>5</w:t>
            </w:r>
          </w:p>
        </w:tc>
        <w:tc>
          <w:tcPr>
            <w:tcW w:type="dxa" w:w="1878"/>
            <w:vAlign w:val="center"/>
          </w:tcPr>
          <w:p>
            <w:pPr>
              <w:spacing w:line="264" w:lineRule="auto" w:before="60" w:after="60"/>
            </w:pPr>
            <w:r>
              <w:rPr>
                <w:sz w:val="20"/>
              </w:rPr>
              <w:t>64.1078</w:t>
            </w:r>
          </w:p>
        </w:tc>
        <w:tc>
          <w:tcPr>
            <w:tcW w:type="dxa" w:w="1878"/>
            <w:vAlign w:val="center"/>
          </w:tcPr>
          <w:p>
            <w:pPr>
              <w:spacing w:line="264" w:lineRule="auto" w:before="60" w:after="60"/>
            </w:pPr>
            <w:r>
              <w:rPr>
                <w:sz w:val="20"/>
              </w:rPr>
              <w:t>49.0294</w:t>
            </w:r>
          </w:p>
        </w:tc>
      </w:tr>
      <w:tr>
        <w:trPr>
          <w:cantSplit/>
        </w:trPr>
        <w:tc>
          <w:tcPr>
            <w:tcW w:type="dxa" w:w="1878"/>
            <w:vAlign w:val="center"/>
          </w:tcPr>
          <w:p>
            <w:pPr>
              <w:spacing w:line="264" w:lineRule="auto" w:before="60" w:after="60"/>
            </w:pPr>
            <w:r>
              <w:rPr>
                <w:sz w:val="20"/>
              </w:rPr>
              <w:t>S60</w:t>
            </w:r>
          </w:p>
        </w:tc>
        <w:tc>
          <w:tcPr>
            <w:tcW w:type="dxa" w:w="1878"/>
            <w:vAlign w:val="center"/>
          </w:tcPr>
          <w:p>
            <w:pPr>
              <w:spacing w:line="264" w:lineRule="auto" w:before="60" w:after="60"/>
            </w:pPr>
            <w:r>
              <w:rPr>
                <w:sz w:val="20"/>
              </w:rPr>
              <w:t>fixed20</w:t>
            </w:r>
          </w:p>
        </w:tc>
        <w:tc>
          <w:tcPr>
            <w:tcW w:type="dxa" w:w="1878"/>
            <w:vAlign w:val="center"/>
          </w:tcPr>
          <w:p>
            <w:pPr>
              <w:spacing w:line="264" w:lineRule="auto" w:before="60" w:after="60"/>
            </w:pPr>
            <w:r>
              <w:rPr>
                <w:sz w:val="20"/>
              </w:rPr>
              <w:t>20</w:t>
            </w:r>
          </w:p>
        </w:tc>
        <w:tc>
          <w:tcPr>
            <w:tcW w:type="dxa" w:w="1878"/>
            <w:vAlign w:val="center"/>
          </w:tcPr>
          <w:p>
            <w:pPr>
              <w:spacing w:line="264" w:lineRule="auto" w:before="60" w:after="60"/>
            </w:pPr>
            <w:r>
              <w:rPr>
                <w:sz w:val="20"/>
              </w:rPr>
              <w:t>63.2108</w:t>
            </w:r>
          </w:p>
        </w:tc>
        <w:tc>
          <w:tcPr>
            <w:tcW w:type="dxa" w:w="1878"/>
            <w:vAlign w:val="center"/>
          </w:tcPr>
          <w:p>
            <w:pPr>
              <w:spacing w:line="264" w:lineRule="auto" w:before="60" w:after="60"/>
            </w:pPr>
            <w:r>
              <w:rPr>
                <w:sz w:val="20"/>
              </w:rPr>
              <w:t>44.3137</w:t>
            </w:r>
          </w:p>
        </w:tc>
      </w:tr>
      <w:tr>
        <w:trPr>
          <w:cantSplit/>
        </w:trPr>
        <w:tc>
          <w:tcPr>
            <w:tcW w:type="dxa" w:w="1878"/>
            <w:vAlign w:val="center"/>
          </w:tcPr>
          <w:p>
            <w:pPr>
              <w:spacing w:line="264" w:lineRule="auto" w:before="60" w:after="60"/>
            </w:pPr>
            <w:r>
              <w:rPr>
                <w:sz w:val="20"/>
              </w:rPr>
              <w:t>S60</w:t>
            </w:r>
          </w:p>
        </w:tc>
        <w:tc>
          <w:tcPr>
            <w:tcW w:type="dxa" w:w="1878"/>
            <w:vAlign w:val="center"/>
          </w:tcPr>
          <w:p>
            <w:pPr>
              <w:spacing w:line="264" w:lineRule="auto" w:before="60" w:after="60"/>
            </w:pPr>
            <w:r>
              <w:rPr>
                <w:sz w:val="20"/>
              </w:rPr>
              <w:t>mean_ce</w:t>
            </w:r>
          </w:p>
        </w:tc>
        <w:tc>
          <w:tcPr>
            <w:tcW w:type="dxa" w:w="1878"/>
            <w:vAlign w:val="center"/>
          </w:tcPr>
          <w:p>
            <w:pPr>
              <w:spacing w:line="264" w:lineRule="auto" w:before="60" w:after="60"/>
            </w:pPr>
            <w:r>
              <w:rPr>
                <w:sz w:val="20"/>
              </w:rPr>
              <w:t>7</w:t>
            </w:r>
          </w:p>
        </w:tc>
        <w:tc>
          <w:tcPr>
            <w:tcW w:type="dxa" w:w="1878"/>
            <w:vAlign w:val="center"/>
          </w:tcPr>
          <w:p>
            <w:pPr>
              <w:spacing w:line="264" w:lineRule="auto" w:before="60" w:after="60"/>
            </w:pPr>
            <w:r>
              <w:rPr>
                <w:sz w:val="20"/>
              </w:rPr>
              <w:t>64.2304</w:t>
            </w:r>
          </w:p>
        </w:tc>
        <w:tc>
          <w:tcPr>
            <w:tcW w:type="dxa" w:w="1878"/>
            <w:vAlign w:val="center"/>
          </w:tcPr>
          <w:p>
            <w:pPr>
              <w:spacing w:line="264" w:lineRule="auto" w:before="60" w:after="60"/>
            </w:pPr>
            <w:r>
              <w:rPr>
                <w:sz w:val="20"/>
              </w:rPr>
              <w:t>48.1961</w:t>
            </w:r>
          </w:p>
        </w:tc>
      </w:tr>
      <w:tr>
        <w:trPr>
          <w:cantSplit/>
        </w:trPr>
        <w:tc>
          <w:tcPr>
            <w:tcW w:type="dxa" w:w="1878"/>
            <w:vAlign w:val="center"/>
          </w:tcPr>
          <w:p>
            <w:pPr>
              <w:spacing w:line="264" w:lineRule="auto" w:before="60" w:after="60"/>
            </w:pPr>
            <w:r>
              <w:rPr>
                <w:sz w:val="20"/>
              </w:rPr>
              <w:t>S60</w:t>
            </w:r>
          </w:p>
        </w:tc>
        <w:tc>
          <w:tcPr>
            <w:tcW w:type="dxa" w:w="1878"/>
            <w:vAlign w:val="center"/>
          </w:tcPr>
          <w:p>
            <w:pPr>
              <w:spacing w:line="264" w:lineRule="auto" w:before="60" w:after="60"/>
            </w:pPr>
            <w:r>
              <w:rPr>
                <w:sz w:val="20"/>
              </w:rPr>
              <w:t>mean_rank</w:t>
            </w:r>
          </w:p>
        </w:tc>
        <w:tc>
          <w:tcPr>
            <w:tcW w:type="dxa" w:w="1878"/>
            <w:vAlign w:val="center"/>
          </w:tcPr>
          <w:p>
            <w:pPr>
              <w:spacing w:line="264" w:lineRule="auto" w:before="60" w:after="60"/>
            </w:pPr>
            <w:r>
              <w:rPr>
                <w:sz w:val="20"/>
              </w:rPr>
              <w:t>7</w:t>
            </w:r>
          </w:p>
        </w:tc>
        <w:tc>
          <w:tcPr>
            <w:tcW w:type="dxa" w:w="1878"/>
            <w:vAlign w:val="center"/>
          </w:tcPr>
          <w:p>
            <w:pPr>
              <w:spacing w:line="264" w:lineRule="auto" w:before="60" w:after="60"/>
            </w:pPr>
            <w:r>
              <w:rPr>
                <w:sz w:val="20"/>
              </w:rPr>
              <w:t>64.2304</w:t>
            </w:r>
          </w:p>
        </w:tc>
        <w:tc>
          <w:tcPr>
            <w:tcW w:type="dxa" w:w="1878"/>
            <w:vAlign w:val="center"/>
          </w:tcPr>
          <w:p>
            <w:pPr>
              <w:spacing w:line="264" w:lineRule="auto" w:before="60" w:after="60"/>
            </w:pPr>
            <w:r>
              <w:rPr>
                <w:sz w:val="20"/>
              </w:rPr>
              <w:t>48.1961</w:t>
            </w:r>
          </w:p>
        </w:tc>
      </w:tr>
      <w:tr>
        <w:trPr>
          <w:cantSplit/>
        </w:trPr>
        <w:tc>
          <w:tcPr>
            <w:tcW w:type="dxa" w:w="1878"/>
            <w:vAlign w:val="center"/>
          </w:tcPr>
          <w:p>
            <w:pPr>
              <w:spacing w:line="264" w:lineRule="auto" w:before="60" w:after="60"/>
            </w:pPr>
            <w:r>
              <w:rPr>
                <w:sz w:val="20"/>
              </w:rPr>
              <w:t>S60</w:t>
            </w:r>
          </w:p>
        </w:tc>
        <w:tc>
          <w:tcPr>
            <w:tcW w:type="dxa" w:w="1878"/>
            <w:vAlign w:val="center"/>
          </w:tcPr>
          <w:p>
            <w:pPr>
              <w:spacing w:line="264" w:lineRule="auto" w:before="60" w:after="60"/>
            </w:pPr>
            <w:r>
              <w:rPr>
                <w:sz w:val="20"/>
              </w:rPr>
              <w:t>mean_ba</w:t>
            </w:r>
          </w:p>
        </w:tc>
        <w:tc>
          <w:tcPr>
            <w:tcW w:type="dxa" w:w="1878"/>
            <w:vAlign w:val="center"/>
          </w:tcPr>
          <w:p>
            <w:pPr>
              <w:spacing w:line="264" w:lineRule="auto" w:before="60" w:after="60"/>
            </w:pPr>
            <w:r>
              <w:rPr>
                <w:sz w:val="20"/>
              </w:rPr>
              <w:t>35</w:t>
            </w:r>
          </w:p>
        </w:tc>
        <w:tc>
          <w:tcPr>
            <w:tcW w:type="dxa" w:w="1878"/>
            <w:vAlign w:val="center"/>
          </w:tcPr>
          <w:p>
            <w:pPr>
              <w:spacing w:line="264" w:lineRule="auto" w:before="60" w:after="60"/>
            </w:pPr>
            <w:r>
              <w:rPr>
                <w:sz w:val="20"/>
              </w:rPr>
              <w:t>63.6618</w:t>
            </w:r>
          </w:p>
        </w:tc>
        <w:tc>
          <w:tcPr>
            <w:tcW w:type="dxa" w:w="1878"/>
            <w:vAlign w:val="center"/>
          </w:tcPr>
          <w:p>
            <w:pPr>
              <w:spacing w:line="264" w:lineRule="auto" w:before="60" w:after="60"/>
            </w:pPr>
            <w:r>
              <w:rPr>
                <w:sz w:val="20"/>
              </w:rPr>
              <w:t>49.3529</w:t>
            </w:r>
          </w:p>
        </w:tc>
      </w:tr>
      <w:tr>
        <w:trPr>
          <w:cantSplit/>
        </w:trPr>
        <w:tc>
          <w:tcPr>
            <w:tcW w:type="dxa" w:w="1878"/>
            <w:vAlign w:val="center"/>
          </w:tcPr>
          <w:p>
            <w:pPr>
              <w:spacing w:line="264" w:lineRule="auto" w:before="60" w:after="60"/>
            </w:pPr>
            <w:r>
              <w:rPr>
                <w:sz w:val="20"/>
              </w:rPr>
              <w:t>S60</w:t>
            </w:r>
          </w:p>
        </w:tc>
        <w:tc>
          <w:tcPr>
            <w:tcW w:type="dxa" w:w="1878"/>
            <w:vAlign w:val="center"/>
          </w:tcPr>
          <w:p>
            <w:pPr>
              <w:spacing w:line="264" w:lineRule="auto" w:before="60" w:after="60"/>
            </w:pPr>
            <w:r>
              <w:rPr>
                <w:sz w:val="20"/>
              </w:rPr>
              <w:t>tail_ce</w:t>
            </w:r>
          </w:p>
        </w:tc>
        <w:tc>
          <w:tcPr>
            <w:tcW w:type="dxa" w:w="1878"/>
            <w:vAlign w:val="center"/>
          </w:tcPr>
          <w:p>
            <w:pPr>
              <w:spacing w:line="264" w:lineRule="auto" w:before="60" w:after="60"/>
            </w:pPr>
            <w:r>
              <w:rPr>
                <w:sz w:val="20"/>
              </w:rPr>
              <w:t>1</w:t>
            </w:r>
          </w:p>
        </w:tc>
        <w:tc>
          <w:tcPr>
            <w:tcW w:type="dxa" w:w="1878"/>
            <w:vAlign w:val="center"/>
          </w:tcPr>
          <w:p>
            <w:pPr>
              <w:spacing w:line="264" w:lineRule="auto" w:before="60" w:after="60"/>
            </w:pPr>
            <w:r>
              <w:rPr>
                <w:sz w:val="20"/>
              </w:rPr>
              <w:t>54.2794</w:t>
            </w:r>
          </w:p>
        </w:tc>
        <w:tc>
          <w:tcPr>
            <w:tcW w:type="dxa" w:w="1878"/>
            <w:vAlign w:val="center"/>
          </w:tcPr>
          <w:p>
            <w:pPr>
              <w:spacing w:line="264" w:lineRule="auto" w:before="60" w:after="60"/>
            </w:pPr>
            <w:r>
              <w:rPr>
                <w:sz w:val="20"/>
              </w:rPr>
              <w:t>14.4902</w:t>
            </w:r>
          </w:p>
        </w:tc>
      </w:tr>
      <w:tr>
        <w:trPr>
          <w:cantSplit/>
        </w:trPr>
        <w:tc>
          <w:tcPr>
            <w:tcW w:type="dxa" w:w="1878"/>
            <w:vAlign w:val="center"/>
          </w:tcPr>
          <w:p>
            <w:pPr>
              <w:spacing w:line="264" w:lineRule="auto" w:before="60" w:after="60"/>
            </w:pPr>
            <w:r>
              <w:rPr>
                <w:sz w:val="20"/>
              </w:rPr>
              <w:t>S60</w:t>
            </w:r>
          </w:p>
        </w:tc>
        <w:tc>
          <w:tcPr>
            <w:tcW w:type="dxa" w:w="1878"/>
            <w:vAlign w:val="center"/>
          </w:tcPr>
          <w:p>
            <w:pPr>
              <w:spacing w:line="264" w:lineRule="auto" w:before="60" w:after="60"/>
            </w:pPr>
            <w:r>
              <w:rPr>
                <w:sz w:val="20"/>
              </w:rPr>
              <w:t>tail_ba</w:t>
            </w:r>
          </w:p>
        </w:tc>
        <w:tc>
          <w:tcPr>
            <w:tcW w:type="dxa" w:w="1878"/>
            <w:vAlign w:val="center"/>
          </w:tcPr>
          <w:p>
            <w:pPr>
              <w:spacing w:line="264" w:lineRule="auto" w:before="60" w:after="60"/>
            </w:pPr>
            <w:r>
              <w:rPr>
                <w:sz w:val="20"/>
              </w:rPr>
              <w:t>39</w:t>
            </w:r>
          </w:p>
        </w:tc>
        <w:tc>
          <w:tcPr>
            <w:tcW w:type="dxa" w:w="1878"/>
            <w:vAlign w:val="center"/>
          </w:tcPr>
          <w:p>
            <w:pPr>
              <w:spacing w:line="264" w:lineRule="auto" w:before="60" w:after="60"/>
            </w:pPr>
            <w:r>
              <w:rPr>
                <w:sz w:val="20"/>
              </w:rPr>
              <w:t>63.1029</w:t>
            </w:r>
          </w:p>
        </w:tc>
        <w:tc>
          <w:tcPr>
            <w:tcW w:type="dxa" w:w="1878"/>
            <w:vAlign w:val="center"/>
          </w:tcPr>
          <w:p>
            <w:pPr>
              <w:spacing w:line="264" w:lineRule="auto" w:before="60" w:after="60"/>
            </w:pPr>
            <w:r>
              <w:rPr>
                <w:sz w:val="20"/>
              </w:rPr>
              <w:t>46.8039</w:t>
            </w:r>
          </w:p>
        </w:tc>
      </w:tr>
      <w:tr>
        <w:trPr>
          <w:cantSplit/>
        </w:trPr>
        <w:tc>
          <w:tcPr>
            <w:tcW w:type="dxa" w:w="1878"/>
            <w:vAlign w:val="center"/>
          </w:tcPr>
          <w:p>
            <w:pPr>
              <w:spacing w:line="264" w:lineRule="auto" w:before="60" w:after="60"/>
            </w:pPr>
            <w:r>
              <w:rPr>
                <w:sz w:val="20"/>
              </w:rPr>
              <w:t>S60</w:t>
            </w:r>
          </w:p>
        </w:tc>
        <w:tc>
          <w:tcPr>
            <w:tcW w:type="dxa" w:w="1878"/>
            <w:vAlign w:val="center"/>
          </w:tcPr>
          <w:p>
            <w:pPr>
              <w:spacing w:line="264" w:lineRule="auto" w:before="60" w:after="60"/>
            </w:pPr>
            <w:r>
              <w:rPr>
                <w:sz w:val="20"/>
              </w:rPr>
              <w:t>mean_min_recall</w:t>
            </w:r>
          </w:p>
        </w:tc>
        <w:tc>
          <w:tcPr>
            <w:tcW w:type="dxa" w:w="1878"/>
            <w:vAlign w:val="center"/>
          </w:tcPr>
          <w:p>
            <w:pPr>
              <w:spacing w:line="264" w:lineRule="auto" w:before="60" w:after="60"/>
            </w:pPr>
            <w:r>
              <w:rPr>
                <w:sz w:val="20"/>
              </w:rPr>
              <w:t>7</w:t>
            </w:r>
          </w:p>
        </w:tc>
        <w:tc>
          <w:tcPr>
            <w:tcW w:type="dxa" w:w="1878"/>
            <w:vAlign w:val="center"/>
          </w:tcPr>
          <w:p>
            <w:pPr>
              <w:spacing w:line="264" w:lineRule="auto" w:before="60" w:after="60"/>
            </w:pPr>
            <w:r>
              <w:rPr>
                <w:sz w:val="20"/>
              </w:rPr>
              <w:t>64.2304</w:t>
            </w:r>
          </w:p>
        </w:tc>
        <w:tc>
          <w:tcPr>
            <w:tcW w:type="dxa" w:w="1878"/>
            <w:vAlign w:val="center"/>
          </w:tcPr>
          <w:p>
            <w:pPr>
              <w:spacing w:line="264" w:lineRule="auto" w:before="60" w:after="60"/>
            </w:pPr>
            <w:r>
              <w:rPr>
                <w:sz w:val="20"/>
              </w:rPr>
              <w:t>48.1961</w:t>
            </w:r>
          </w:p>
        </w:tc>
      </w:tr>
      <w:tr>
        <w:trPr>
          <w:cantSplit/>
        </w:trPr>
        <w:tc>
          <w:tcPr>
            <w:tcW w:type="dxa" w:w="1878"/>
            <w:vAlign w:val="center"/>
          </w:tcPr>
          <w:p>
            <w:pPr>
              <w:spacing w:line="264" w:lineRule="auto" w:before="60" w:after="60"/>
            </w:pPr>
            <w:r>
              <w:rPr>
                <w:sz w:val="20"/>
              </w:rPr>
              <w:t>S60</w:t>
            </w:r>
          </w:p>
        </w:tc>
        <w:tc>
          <w:tcPr>
            <w:tcW w:type="dxa" w:w="1878"/>
            <w:vAlign w:val="center"/>
          </w:tcPr>
          <w:p>
            <w:pPr>
              <w:spacing w:line="264" w:lineRule="auto" w:before="60" w:after="60"/>
            </w:pPr>
            <w:r>
              <w:rPr>
                <w:sz w:val="20"/>
              </w:rPr>
              <w:t>tail_min_recall</w:t>
            </w:r>
          </w:p>
        </w:tc>
        <w:tc>
          <w:tcPr>
            <w:tcW w:type="dxa" w:w="1878"/>
            <w:vAlign w:val="center"/>
          </w:tcPr>
          <w:p>
            <w:pPr>
              <w:spacing w:line="264" w:lineRule="auto" w:before="60" w:after="60"/>
            </w:pPr>
            <w:r>
              <w:rPr>
                <w:sz w:val="20"/>
              </w:rPr>
              <w:t>5</w:t>
            </w:r>
          </w:p>
        </w:tc>
        <w:tc>
          <w:tcPr>
            <w:tcW w:type="dxa" w:w="1878"/>
            <w:vAlign w:val="center"/>
          </w:tcPr>
          <w:p>
            <w:pPr>
              <w:spacing w:line="264" w:lineRule="auto" w:before="60" w:after="60"/>
            </w:pPr>
            <w:r>
              <w:rPr>
                <w:sz w:val="20"/>
              </w:rPr>
              <w:t>64.1716</w:t>
            </w:r>
          </w:p>
        </w:tc>
        <w:tc>
          <w:tcPr>
            <w:tcW w:type="dxa" w:w="1878"/>
            <w:vAlign w:val="center"/>
          </w:tcPr>
          <w:p>
            <w:pPr>
              <w:spacing w:line="264" w:lineRule="auto" w:before="60" w:after="60"/>
            </w:pPr>
            <w:r>
              <w:rPr>
                <w:sz w:val="20"/>
              </w:rPr>
              <w:t>48.4804</w:t>
            </w:r>
          </w:p>
        </w:tc>
      </w:tr>
    </w:tbl>
    <w:p/>
    <w:p>
      <w:r>
        <w:rPr>
          <w:b/>
        </w:rPr>
        <w:t>S4 Table. Complete MU_BETA_SHARED selection conditions.</w:t>
      </w:r>
    </w:p>
    <w:tbl>
      <w:tblPr>
        <w:tblStyle w:val="TableGrid"/>
        <w:tblW w:type="auto" w:w="0"/>
        <w:jc w:val="center"/>
        <w:tblLayout w:type="fixed"/>
        <w:tblLook w:firstColumn="1" w:firstRow="1" w:lastColumn="0" w:lastRow="0" w:noHBand="0" w:noVBand="1" w:val="04A0"/>
      </w:tblPr>
      <w:tblGrid>
        <w:gridCol w:w="1878"/>
        <w:gridCol w:w="1878"/>
        <w:gridCol w:w="1878"/>
        <w:gridCol w:w="1878"/>
        <w:gridCol w:w="1878"/>
      </w:tblGrid>
      <w:tr>
        <w:trPr>
          <w:cantSplit/>
          <w:tblHeader/>
        </w:trPr>
        <w:tc>
          <w:tcPr>
            <w:tcW w:type="dxa" w:w="1878"/>
            <w:vAlign w:val="center"/>
          </w:tcPr>
          <w:p>
            <w:pPr>
              <w:spacing w:line="264" w:lineRule="auto" w:before="60" w:after="60"/>
            </w:pPr>
            <w:r>
              <w:rPr>
                <w:b/>
                <w:sz w:val="20"/>
              </w:rPr>
              <w:t>Source pool</w:t>
            </w:r>
          </w:p>
        </w:tc>
        <w:tc>
          <w:tcPr>
            <w:tcW w:type="dxa" w:w="1878"/>
            <w:vAlign w:val="center"/>
          </w:tcPr>
          <w:p>
            <w:pPr>
              <w:spacing w:line="264" w:lineRule="auto" w:before="60" w:after="60"/>
            </w:pPr>
            <w:r>
              <w:rPr>
                <w:b/>
                <w:sz w:val="20"/>
              </w:rPr>
              <w:t>Selection rule</w:t>
            </w:r>
          </w:p>
        </w:tc>
        <w:tc>
          <w:tcPr>
            <w:tcW w:type="dxa" w:w="1878"/>
            <w:vAlign w:val="center"/>
          </w:tcPr>
          <w:p>
            <w:pPr>
              <w:spacing w:line="264" w:lineRule="auto" w:before="60" w:after="60"/>
            </w:pPr>
            <w:r>
              <w:rPr>
                <w:b/>
                <w:sz w:val="20"/>
              </w:rPr>
              <w:t>Epoch</w:t>
            </w:r>
          </w:p>
        </w:tc>
        <w:tc>
          <w:tcPr>
            <w:tcW w:type="dxa" w:w="1878"/>
            <w:vAlign w:val="center"/>
          </w:tcPr>
          <w:p>
            <w:pPr>
              <w:spacing w:line="264" w:lineRule="auto" w:before="60" w:after="60"/>
            </w:pPr>
            <w:r>
              <w:rPr>
                <w:b/>
                <w:sz w:val="20"/>
              </w:rPr>
              <w:t>BA (%)</w:t>
            </w:r>
          </w:p>
        </w:tc>
        <w:tc>
          <w:tcPr>
            <w:tcW w:type="dxa" w:w="1878"/>
            <w:vAlign w:val="center"/>
          </w:tcPr>
          <w:p>
            <w:pPr>
              <w:spacing w:line="264" w:lineRule="auto" w:before="60" w:after="60"/>
            </w:pPr>
            <w:r>
              <w:rPr>
                <w:b/>
                <w:sz w:val="20"/>
              </w:rPr>
              <w:t>W (%)</w:t>
            </w:r>
          </w:p>
        </w:tc>
      </w:tr>
      <w:tr>
        <w:trPr>
          <w:cantSplit/>
        </w:trPr>
        <w:tc>
          <w:tcPr>
            <w:tcW w:type="dxa" w:w="1878"/>
            <w:vAlign w:val="center"/>
          </w:tcPr>
          <w:p>
            <w:pPr>
              <w:spacing w:line="264" w:lineRule="auto" w:before="60" w:after="60"/>
            </w:pPr>
            <w:r>
              <w:rPr>
                <w:sz w:val="20"/>
              </w:rPr>
              <w:t>S9</w:t>
            </w:r>
          </w:p>
        </w:tc>
        <w:tc>
          <w:tcPr>
            <w:tcW w:type="dxa" w:w="1878"/>
            <w:vAlign w:val="center"/>
          </w:tcPr>
          <w:p>
            <w:pPr>
              <w:spacing w:line="264" w:lineRule="auto" w:before="60" w:after="60"/>
            </w:pPr>
            <w:r>
              <w:rPr>
                <w:sz w:val="20"/>
              </w:rPr>
              <w:t>fixed20</w:t>
            </w:r>
          </w:p>
        </w:tc>
        <w:tc>
          <w:tcPr>
            <w:tcW w:type="dxa" w:w="1878"/>
            <w:vAlign w:val="center"/>
          </w:tcPr>
          <w:p>
            <w:pPr>
              <w:spacing w:line="264" w:lineRule="auto" w:before="60" w:after="60"/>
            </w:pPr>
            <w:r>
              <w:rPr>
                <w:sz w:val="20"/>
              </w:rPr>
              <w:t>20</w:t>
            </w:r>
          </w:p>
        </w:tc>
        <w:tc>
          <w:tcPr>
            <w:tcW w:type="dxa" w:w="1878"/>
            <w:vAlign w:val="center"/>
          </w:tcPr>
          <w:p>
            <w:pPr>
              <w:spacing w:line="264" w:lineRule="auto" w:before="60" w:after="60"/>
            </w:pPr>
            <w:r>
              <w:rPr>
                <w:sz w:val="20"/>
              </w:rPr>
              <w:t>58.1176</w:t>
            </w:r>
          </w:p>
        </w:tc>
        <w:tc>
          <w:tcPr>
            <w:tcW w:type="dxa" w:w="1878"/>
            <w:vAlign w:val="center"/>
          </w:tcPr>
          <w:p>
            <w:pPr>
              <w:spacing w:line="264" w:lineRule="auto" w:before="60" w:after="60"/>
            </w:pPr>
            <w:r>
              <w:rPr>
                <w:sz w:val="20"/>
              </w:rPr>
              <w:t>24.7745</w:t>
            </w:r>
          </w:p>
        </w:tc>
      </w:tr>
      <w:tr>
        <w:trPr>
          <w:cantSplit/>
        </w:trPr>
        <w:tc>
          <w:tcPr>
            <w:tcW w:type="dxa" w:w="1878"/>
            <w:vAlign w:val="center"/>
          </w:tcPr>
          <w:p>
            <w:pPr>
              <w:spacing w:line="264" w:lineRule="auto" w:before="60" w:after="60"/>
            </w:pPr>
            <w:r>
              <w:rPr>
                <w:sz w:val="20"/>
              </w:rPr>
              <w:t>S9</w:t>
            </w:r>
          </w:p>
        </w:tc>
        <w:tc>
          <w:tcPr>
            <w:tcW w:type="dxa" w:w="1878"/>
            <w:vAlign w:val="center"/>
          </w:tcPr>
          <w:p>
            <w:pPr>
              <w:spacing w:line="264" w:lineRule="auto" w:before="60" w:after="60"/>
            </w:pPr>
            <w:r>
              <w:rPr>
                <w:sz w:val="20"/>
              </w:rPr>
              <w:t>mean_ce</w:t>
            </w:r>
          </w:p>
        </w:tc>
        <w:tc>
          <w:tcPr>
            <w:tcW w:type="dxa" w:w="1878"/>
            <w:vAlign w:val="center"/>
          </w:tcPr>
          <w:p>
            <w:pPr>
              <w:spacing w:line="264" w:lineRule="auto" w:before="60" w:after="60"/>
            </w:pPr>
            <w:r>
              <w:rPr>
                <w:sz w:val="20"/>
              </w:rPr>
              <w:t>3</w:t>
            </w:r>
          </w:p>
        </w:tc>
        <w:tc>
          <w:tcPr>
            <w:tcW w:type="dxa" w:w="1878"/>
            <w:vAlign w:val="center"/>
          </w:tcPr>
          <w:p>
            <w:pPr>
              <w:spacing w:line="264" w:lineRule="auto" w:before="60" w:after="60"/>
            </w:pPr>
            <w:r>
              <w:rPr>
                <w:sz w:val="20"/>
              </w:rPr>
              <w:t>61.2941</w:t>
            </w:r>
          </w:p>
        </w:tc>
        <w:tc>
          <w:tcPr>
            <w:tcW w:type="dxa" w:w="1878"/>
            <w:vAlign w:val="center"/>
          </w:tcPr>
          <w:p>
            <w:pPr>
              <w:spacing w:line="264" w:lineRule="auto" w:before="60" w:after="60"/>
            </w:pPr>
            <w:r>
              <w:rPr>
                <w:sz w:val="20"/>
              </w:rPr>
              <w:t>39.1078</w:t>
            </w:r>
          </w:p>
        </w:tc>
      </w:tr>
      <w:tr>
        <w:trPr>
          <w:cantSplit/>
        </w:trPr>
        <w:tc>
          <w:tcPr>
            <w:tcW w:type="dxa" w:w="1878"/>
            <w:vAlign w:val="center"/>
          </w:tcPr>
          <w:p>
            <w:pPr>
              <w:spacing w:line="264" w:lineRule="auto" w:before="60" w:after="60"/>
            </w:pPr>
            <w:r>
              <w:rPr>
                <w:sz w:val="20"/>
              </w:rPr>
              <w:t>S9</w:t>
            </w:r>
          </w:p>
        </w:tc>
        <w:tc>
          <w:tcPr>
            <w:tcW w:type="dxa" w:w="1878"/>
            <w:vAlign w:val="center"/>
          </w:tcPr>
          <w:p>
            <w:pPr>
              <w:spacing w:line="264" w:lineRule="auto" w:before="60" w:after="60"/>
            </w:pPr>
            <w:r>
              <w:rPr>
                <w:sz w:val="20"/>
              </w:rPr>
              <w:t>mean_rank</w:t>
            </w:r>
          </w:p>
        </w:tc>
        <w:tc>
          <w:tcPr>
            <w:tcW w:type="dxa" w:w="1878"/>
            <w:vAlign w:val="center"/>
          </w:tcPr>
          <w:p>
            <w:pPr>
              <w:spacing w:line="264" w:lineRule="auto" w:before="60" w:after="60"/>
            </w:pPr>
            <w:r>
              <w:rPr>
                <w:sz w:val="20"/>
              </w:rPr>
              <w:t>9</w:t>
            </w:r>
          </w:p>
        </w:tc>
        <w:tc>
          <w:tcPr>
            <w:tcW w:type="dxa" w:w="1878"/>
            <w:vAlign w:val="center"/>
          </w:tcPr>
          <w:p>
            <w:pPr>
              <w:spacing w:line="264" w:lineRule="auto" w:before="60" w:after="60"/>
            </w:pPr>
            <w:r>
              <w:rPr>
                <w:sz w:val="20"/>
              </w:rPr>
              <w:t>60.1520</w:t>
            </w:r>
          </w:p>
        </w:tc>
        <w:tc>
          <w:tcPr>
            <w:tcW w:type="dxa" w:w="1878"/>
            <w:vAlign w:val="center"/>
          </w:tcPr>
          <w:p>
            <w:pPr>
              <w:spacing w:line="264" w:lineRule="auto" w:before="60" w:after="60"/>
            </w:pPr>
            <w:r>
              <w:rPr>
                <w:sz w:val="20"/>
              </w:rPr>
              <w:t>31.8529</w:t>
            </w:r>
          </w:p>
        </w:tc>
      </w:tr>
      <w:tr>
        <w:trPr>
          <w:cantSplit/>
        </w:trPr>
        <w:tc>
          <w:tcPr>
            <w:tcW w:type="dxa" w:w="1878"/>
            <w:vAlign w:val="center"/>
          </w:tcPr>
          <w:p>
            <w:pPr>
              <w:spacing w:line="264" w:lineRule="auto" w:before="60" w:after="60"/>
            </w:pPr>
            <w:r>
              <w:rPr>
                <w:sz w:val="20"/>
              </w:rPr>
              <w:t>S9</w:t>
            </w:r>
          </w:p>
        </w:tc>
        <w:tc>
          <w:tcPr>
            <w:tcW w:type="dxa" w:w="1878"/>
            <w:vAlign w:val="center"/>
          </w:tcPr>
          <w:p>
            <w:pPr>
              <w:spacing w:line="264" w:lineRule="auto" w:before="60" w:after="60"/>
            </w:pPr>
            <w:r>
              <w:rPr>
                <w:sz w:val="20"/>
              </w:rPr>
              <w:t>mean_ba</w:t>
            </w:r>
          </w:p>
        </w:tc>
        <w:tc>
          <w:tcPr>
            <w:tcW w:type="dxa" w:w="1878"/>
            <w:vAlign w:val="center"/>
          </w:tcPr>
          <w:p>
            <w:pPr>
              <w:spacing w:line="264" w:lineRule="auto" w:before="60" w:after="60"/>
            </w:pPr>
            <w:r>
              <w:rPr>
                <w:sz w:val="20"/>
              </w:rPr>
              <w:t>20</w:t>
            </w:r>
          </w:p>
        </w:tc>
        <w:tc>
          <w:tcPr>
            <w:tcW w:type="dxa" w:w="1878"/>
            <w:vAlign w:val="center"/>
          </w:tcPr>
          <w:p>
            <w:pPr>
              <w:spacing w:line="264" w:lineRule="auto" w:before="60" w:after="60"/>
            </w:pPr>
            <w:r>
              <w:rPr>
                <w:sz w:val="20"/>
              </w:rPr>
              <w:t>58.1176</w:t>
            </w:r>
          </w:p>
        </w:tc>
        <w:tc>
          <w:tcPr>
            <w:tcW w:type="dxa" w:w="1878"/>
            <w:vAlign w:val="center"/>
          </w:tcPr>
          <w:p>
            <w:pPr>
              <w:spacing w:line="264" w:lineRule="auto" w:before="60" w:after="60"/>
            </w:pPr>
            <w:r>
              <w:rPr>
                <w:sz w:val="20"/>
              </w:rPr>
              <w:t>24.7745</w:t>
            </w:r>
          </w:p>
        </w:tc>
      </w:tr>
      <w:tr>
        <w:trPr>
          <w:cantSplit/>
        </w:trPr>
        <w:tc>
          <w:tcPr>
            <w:tcW w:type="dxa" w:w="1878"/>
            <w:vAlign w:val="center"/>
          </w:tcPr>
          <w:p>
            <w:pPr>
              <w:spacing w:line="264" w:lineRule="auto" w:before="60" w:after="60"/>
            </w:pPr>
            <w:r>
              <w:rPr>
                <w:sz w:val="20"/>
              </w:rPr>
              <w:t>S9</w:t>
            </w:r>
          </w:p>
        </w:tc>
        <w:tc>
          <w:tcPr>
            <w:tcW w:type="dxa" w:w="1878"/>
            <w:vAlign w:val="center"/>
          </w:tcPr>
          <w:p>
            <w:pPr>
              <w:spacing w:line="264" w:lineRule="auto" w:before="60" w:after="60"/>
            </w:pPr>
            <w:r>
              <w:rPr>
                <w:sz w:val="20"/>
              </w:rPr>
              <w:t>tail_ce</w:t>
            </w:r>
          </w:p>
        </w:tc>
        <w:tc>
          <w:tcPr>
            <w:tcW w:type="dxa" w:w="1878"/>
            <w:vAlign w:val="center"/>
          </w:tcPr>
          <w:p>
            <w:pPr>
              <w:spacing w:line="264" w:lineRule="auto" w:before="60" w:after="60"/>
            </w:pPr>
            <w:r>
              <w:rPr>
                <w:sz w:val="20"/>
              </w:rPr>
              <w:t>3</w:t>
            </w:r>
          </w:p>
        </w:tc>
        <w:tc>
          <w:tcPr>
            <w:tcW w:type="dxa" w:w="1878"/>
            <w:vAlign w:val="center"/>
          </w:tcPr>
          <w:p>
            <w:pPr>
              <w:spacing w:line="264" w:lineRule="auto" w:before="60" w:after="60"/>
            </w:pPr>
            <w:r>
              <w:rPr>
                <w:sz w:val="20"/>
              </w:rPr>
              <w:t>61.2941</w:t>
            </w:r>
          </w:p>
        </w:tc>
        <w:tc>
          <w:tcPr>
            <w:tcW w:type="dxa" w:w="1878"/>
            <w:vAlign w:val="center"/>
          </w:tcPr>
          <w:p>
            <w:pPr>
              <w:spacing w:line="264" w:lineRule="auto" w:before="60" w:after="60"/>
            </w:pPr>
            <w:r>
              <w:rPr>
                <w:sz w:val="20"/>
              </w:rPr>
              <w:t>39.1078</w:t>
            </w:r>
          </w:p>
        </w:tc>
      </w:tr>
      <w:tr>
        <w:trPr>
          <w:cantSplit/>
        </w:trPr>
        <w:tc>
          <w:tcPr>
            <w:tcW w:type="dxa" w:w="1878"/>
            <w:vAlign w:val="center"/>
          </w:tcPr>
          <w:p>
            <w:pPr>
              <w:spacing w:line="264" w:lineRule="auto" w:before="60" w:after="60"/>
            </w:pPr>
            <w:r>
              <w:rPr>
                <w:sz w:val="20"/>
              </w:rPr>
              <w:t>S9</w:t>
            </w:r>
          </w:p>
        </w:tc>
        <w:tc>
          <w:tcPr>
            <w:tcW w:type="dxa" w:w="1878"/>
            <w:vAlign w:val="center"/>
          </w:tcPr>
          <w:p>
            <w:pPr>
              <w:spacing w:line="264" w:lineRule="auto" w:before="60" w:after="60"/>
            </w:pPr>
            <w:r>
              <w:rPr>
                <w:sz w:val="20"/>
              </w:rPr>
              <w:t>tail_ba</w:t>
            </w:r>
          </w:p>
        </w:tc>
        <w:tc>
          <w:tcPr>
            <w:tcW w:type="dxa" w:w="1878"/>
            <w:vAlign w:val="center"/>
          </w:tcPr>
          <w:p>
            <w:pPr>
              <w:spacing w:line="264" w:lineRule="auto" w:before="60" w:after="60"/>
            </w:pPr>
            <w:r>
              <w:rPr>
                <w:sz w:val="20"/>
              </w:rPr>
              <w:t>9</w:t>
            </w:r>
          </w:p>
        </w:tc>
        <w:tc>
          <w:tcPr>
            <w:tcW w:type="dxa" w:w="1878"/>
            <w:vAlign w:val="center"/>
          </w:tcPr>
          <w:p>
            <w:pPr>
              <w:spacing w:line="264" w:lineRule="auto" w:before="60" w:after="60"/>
            </w:pPr>
            <w:r>
              <w:rPr>
                <w:sz w:val="20"/>
              </w:rPr>
              <w:t>60.1520</w:t>
            </w:r>
          </w:p>
        </w:tc>
        <w:tc>
          <w:tcPr>
            <w:tcW w:type="dxa" w:w="1878"/>
            <w:vAlign w:val="center"/>
          </w:tcPr>
          <w:p>
            <w:pPr>
              <w:spacing w:line="264" w:lineRule="auto" w:before="60" w:after="60"/>
            </w:pPr>
            <w:r>
              <w:rPr>
                <w:sz w:val="20"/>
              </w:rPr>
              <w:t>31.8529</w:t>
            </w:r>
          </w:p>
        </w:tc>
      </w:tr>
      <w:tr>
        <w:trPr>
          <w:cantSplit/>
        </w:trPr>
        <w:tc>
          <w:tcPr>
            <w:tcW w:type="dxa" w:w="1878"/>
            <w:vAlign w:val="center"/>
          </w:tcPr>
          <w:p>
            <w:pPr>
              <w:spacing w:line="264" w:lineRule="auto" w:before="60" w:after="60"/>
            </w:pPr>
            <w:r>
              <w:rPr>
                <w:sz w:val="20"/>
              </w:rPr>
              <w:t>S9</w:t>
            </w:r>
          </w:p>
        </w:tc>
        <w:tc>
          <w:tcPr>
            <w:tcW w:type="dxa" w:w="1878"/>
            <w:vAlign w:val="center"/>
          </w:tcPr>
          <w:p>
            <w:pPr>
              <w:spacing w:line="264" w:lineRule="auto" w:before="60" w:after="60"/>
            </w:pPr>
            <w:r>
              <w:rPr>
                <w:sz w:val="20"/>
              </w:rPr>
              <w:t>mean_min_recall</w:t>
            </w:r>
          </w:p>
        </w:tc>
        <w:tc>
          <w:tcPr>
            <w:tcW w:type="dxa" w:w="1878"/>
            <w:vAlign w:val="center"/>
          </w:tcPr>
          <w:p>
            <w:pPr>
              <w:spacing w:line="264" w:lineRule="auto" w:before="60" w:after="60"/>
            </w:pPr>
            <w:r>
              <w:rPr>
                <w:sz w:val="20"/>
              </w:rPr>
              <w:t>18</w:t>
            </w:r>
          </w:p>
        </w:tc>
        <w:tc>
          <w:tcPr>
            <w:tcW w:type="dxa" w:w="1878"/>
            <w:vAlign w:val="center"/>
          </w:tcPr>
          <w:p>
            <w:pPr>
              <w:spacing w:line="264" w:lineRule="auto" w:before="60" w:after="60"/>
            </w:pPr>
            <w:r>
              <w:rPr>
                <w:sz w:val="20"/>
              </w:rPr>
              <w:t>58.3529</w:t>
            </w:r>
          </w:p>
        </w:tc>
        <w:tc>
          <w:tcPr>
            <w:tcW w:type="dxa" w:w="1878"/>
            <w:vAlign w:val="center"/>
          </w:tcPr>
          <w:p>
            <w:pPr>
              <w:spacing w:line="264" w:lineRule="auto" w:before="60" w:after="60"/>
            </w:pPr>
            <w:r>
              <w:rPr>
                <w:sz w:val="20"/>
              </w:rPr>
              <w:t>25.4804</w:t>
            </w:r>
          </w:p>
        </w:tc>
      </w:tr>
      <w:tr>
        <w:trPr>
          <w:cantSplit/>
        </w:trPr>
        <w:tc>
          <w:tcPr>
            <w:tcW w:type="dxa" w:w="1878"/>
            <w:vAlign w:val="center"/>
          </w:tcPr>
          <w:p>
            <w:pPr>
              <w:spacing w:line="264" w:lineRule="auto" w:before="60" w:after="60"/>
            </w:pPr>
            <w:r>
              <w:rPr>
                <w:sz w:val="20"/>
              </w:rPr>
              <w:t>S9</w:t>
            </w:r>
          </w:p>
        </w:tc>
        <w:tc>
          <w:tcPr>
            <w:tcW w:type="dxa" w:w="1878"/>
            <w:vAlign w:val="center"/>
          </w:tcPr>
          <w:p>
            <w:pPr>
              <w:spacing w:line="264" w:lineRule="auto" w:before="60" w:after="60"/>
            </w:pPr>
            <w:r>
              <w:rPr>
                <w:sz w:val="20"/>
              </w:rPr>
              <w:t>tail_min_recall</w:t>
            </w:r>
          </w:p>
        </w:tc>
        <w:tc>
          <w:tcPr>
            <w:tcW w:type="dxa" w:w="1878"/>
            <w:vAlign w:val="center"/>
          </w:tcPr>
          <w:p>
            <w:pPr>
              <w:spacing w:line="264" w:lineRule="auto" w:before="60" w:after="60"/>
            </w:pPr>
            <w:r>
              <w:rPr>
                <w:sz w:val="20"/>
              </w:rPr>
              <w:t>9</w:t>
            </w:r>
          </w:p>
        </w:tc>
        <w:tc>
          <w:tcPr>
            <w:tcW w:type="dxa" w:w="1878"/>
            <w:vAlign w:val="center"/>
          </w:tcPr>
          <w:p>
            <w:pPr>
              <w:spacing w:line="264" w:lineRule="auto" w:before="60" w:after="60"/>
            </w:pPr>
            <w:r>
              <w:rPr>
                <w:sz w:val="20"/>
              </w:rPr>
              <w:t>60.1520</w:t>
            </w:r>
          </w:p>
        </w:tc>
        <w:tc>
          <w:tcPr>
            <w:tcW w:type="dxa" w:w="1878"/>
            <w:vAlign w:val="center"/>
          </w:tcPr>
          <w:p>
            <w:pPr>
              <w:spacing w:line="264" w:lineRule="auto" w:before="60" w:after="60"/>
            </w:pPr>
            <w:r>
              <w:rPr>
                <w:sz w:val="20"/>
              </w:rPr>
              <w:t>31.8529</w:t>
            </w:r>
          </w:p>
        </w:tc>
      </w:tr>
      <w:tr>
        <w:trPr>
          <w:cantSplit/>
        </w:trPr>
        <w:tc>
          <w:tcPr>
            <w:tcW w:type="dxa" w:w="1878"/>
            <w:vAlign w:val="center"/>
          </w:tcPr>
          <w:p>
            <w:pPr>
              <w:spacing w:line="264" w:lineRule="auto" w:before="60" w:after="60"/>
            </w:pPr>
            <w:r>
              <w:rPr>
                <w:sz w:val="20"/>
              </w:rPr>
              <w:t>S29</w:t>
            </w:r>
          </w:p>
        </w:tc>
        <w:tc>
          <w:tcPr>
            <w:tcW w:type="dxa" w:w="1878"/>
            <w:vAlign w:val="center"/>
          </w:tcPr>
          <w:p>
            <w:pPr>
              <w:spacing w:line="264" w:lineRule="auto" w:before="60" w:after="60"/>
            </w:pPr>
            <w:r>
              <w:rPr>
                <w:sz w:val="20"/>
              </w:rPr>
              <w:t>fixed20</w:t>
            </w:r>
          </w:p>
        </w:tc>
        <w:tc>
          <w:tcPr>
            <w:tcW w:type="dxa" w:w="1878"/>
            <w:vAlign w:val="center"/>
          </w:tcPr>
          <w:p>
            <w:pPr>
              <w:spacing w:line="264" w:lineRule="auto" w:before="60" w:after="60"/>
            </w:pPr>
            <w:r>
              <w:rPr>
                <w:sz w:val="20"/>
              </w:rPr>
              <w:t>20</w:t>
            </w:r>
          </w:p>
        </w:tc>
        <w:tc>
          <w:tcPr>
            <w:tcW w:type="dxa" w:w="1878"/>
            <w:vAlign w:val="center"/>
          </w:tcPr>
          <w:p>
            <w:pPr>
              <w:spacing w:line="264" w:lineRule="auto" w:before="60" w:after="60"/>
            </w:pPr>
            <w:r>
              <w:rPr>
                <w:sz w:val="20"/>
              </w:rPr>
              <w:t>64.2647</w:t>
            </w:r>
          </w:p>
        </w:tc>
        <w:tc>
          <w:tcPr>
            <w:tcW w:type="dxa" w:w="1878"/>
            <w:vAlign w:val="center"/>
          </w:tcPr>
          <w:p>
            <w:pPr>
              <w:spacing w:line="264" w:lineRule="auto" w:before="60" w:after="60"/>
            </w:pPr>
            <w:r>
              <w:rPr>
                <w:sz w:val="20"/>
              </w:rPr>
              <w:t>48.1373</w:t>
            </w:r>
          </w:p>
        </w:tc>
      </w:tr>
      <w:tr>
        <w:trPr>
          <w:cantSplit/>
        </w:trPr>
        <w:tc>
          <w:tcPr>
            <w:tcW w:type="dxa" w:w="1878"/>
            <w:vAlign w:val="center"/>
          </w:tcPr>
          <w:p>
            <w:pPr>
              <w:spacing w:line="264" w:lineRule="auto" w:before="60" w:after="60"/>
            </w:pPr>
            <w:r>
              <w:rPr>
                <w:sz w:val="20"/>
              </w:rPr>
              <w:t>S29</w:t>
            </w:r>
          </w:p>
        </w:tc>
        <w:tc>
          <w:tcPr>
            <w:tcW w:type="dxa" w:w="1878"/>
            <w:vAlign w:val="center"/>
          </w:tcPr>
          <w:p>
            <w:pPr>
              <w:spacing w:line="264" w:lineRule="auto" w:before="60" w:after="60"/>
            </w:pPr>
            <w:r>
              <w:rPr>
                <w:sz w:val="20"/>
              </w:rPr>
              <w:t>mean_ce</w:t>
            </w:r>
          </w:p>
        </w:tc>
        <w:tc>
          <w:tcPr>
            <w:tcW w:type="dxa" w:w="1878"/>
            <w:vAlign w:val="center"/>
          </w:tcPr>
          <w:p>
            <w:pPr>
              <w:spacing w:line="264" w:lineRule="auto" w:before="60" w:after="60"/>
            </w:pPr>
            <w:r>
              <w:rPr>
                <w:sz w:val="20"/>
              </w:rPr>
              <w:t>7</w:t>
            </w:r>
          </w:p>
        </w:tc>
        <w:tc>
          <w:tcPr>
            <w:tcW w:type="dxa" w:w="1878"/>
            <w:vAlign w:val="center"/>
          </w:tcPr>
          <w:p>
            <w:pPr>
              <w:spacing w:line="264" w:lineRule="auto" w:before="60" w:after="60"/>
            </w:pPr>
            <w:r>
              <w:rPr>
                <w:sz w:val="20"/>
              </w:rPr>
              <w:t>63.1275</w:t>
            </w:r>
          </w:p>
        </w:tc>
        <w:tc>
          <w:tcPr>
            <w:tcW w:type="dxa" w:w="1878"/>
            <w:vAlign w:val="center"/>
          </w:tcPr>
          <w:p>
            <w:pPr>
              <w:spacing w:line="264" w:lineRule="auto" w:before="60" w:after="60"/>
            </w:pPr>
            <w:r>
              <w:rPr>
                <w:sz w:val="20"/>
              </w:rPr>
              <w:t>44.6863</w:t>
            </w:r>
          </w:p>
        </w:tc>
      </w:tr>
      <w:tr>
        <w:trPr>
          <w:cantSplit/>
        </w:trPr>
        <w:tc>
          <w:tcPr>
            <w:tcW w:type="dxa" w:w="1878"/>
            <w:vAlign w:val="center"/>
          </w:tcPr>
          <w:p>
            <w:pPr>
              <w:spacing w:line="264" w:lineRule="auto" w:before="60" w:after="60"/>
            </w:pPr>
            <w:r>
              <w:rPr>
                <w:sz w:val="20"/>
              </w:rPr>
              <w:t>S29</w:t>
            </w:r>
          </w:p>
        </w:tc>
        <w:tc>
          <w:tcPr>
            <w:tcW w:type="dxa" w:w="1878"/>
            <w:vAlign w:val="center"/>
          </w:tcPr>
          <w:p>
            <w:pPr>
              <w:spacing w:line="264" w:lineRule="auto" w:before="60" w:after="60"/>
            </w:pPr>
            <w:r>
              <w:rPr>
                <w:sz w:val="20"/>
              </w:rPr>
              <w:t>mean_rank</w:t>
            </w:r>
          </w:p>
        </w:tc>
        <w:tc>
          <w:tcPr>
            <w:tcW w:type="dxa" w:w="1878"/>
            <w:vAlign w:val="center"/>
          </w:tcPr>
          <w:p>
            <w:pPr>
              <w:spacing w:line="264" w:lineRule="auto" w:before="60" w:after="60"/>
            </w:pPr>
            <w:r>
              <w:rPr>
                <w:sz w:val="20"/>
              </w:rPr>
              <w:t>7</w:t>
            </w:r>
          </w:p>
        </w:tc>
        <w:tc>
          <w:tcPr>
            <w:tcW w:type="dxa" w:w="1878"/>
            <w:vAlign w:val="center"/>
          </w:tcPr>
          <w:p>
            <w:pPr>
              <w:spacing w:line="264" w:lineRule="auto" w:before="60" w:after="60"/>
            </w:pPr>
            <w:r>
              <w:rPr>
                <w:sz w:val="20"/>
              </w:rPr>
              <w:t>63.1275</w:t>
            </w:r>
          </w:p>
        </w:tc>
        <w:tc>
          <w:tcPr>
            <w:tcW w:type="dxa" w:w="1878"/>
            <w:vAlign w:val="center"/>
          </w:tcPr>
          <w:p>
            <w:pPr>
              <w:spacing w:line="264" w:lineRule="auto" w:before="60" w:after="60"/>
            </w:pPr>
            <w:r>
              <w:rPr>
                <w:sz w:val="20"/>
              </w:rPr>
              <w:t>44.6863</w:t>
            </w:r>
          </w:p>
        </w:tc>
      </w:tr>
      <w:tr>
        <w:trPr>
          <w:cantSplit/>
        </w:trPr>
        <w:tc>
          <w:tcPr>
            <w:tcW w:type="dxa" w:w="1878"/>
            <w:vAlign w:val="center"/>
          </w:tcPr>
          <w:p>
            <w:pPr>
              <w:spacing w:line="264" w:lineRule="auto" w:before="60" w:after="60"/>
            </w:pPr>
            <w:r>
              <w:rPr>
                <w:sz w:val="20"/>
              </w:rPr>
              <w:t>S29</w:t>
            </w:r>
          </w:p>
        </w:tc>
        <w:tc>
          <w:tcPr>
            <w:tcW w:type="dxa" w:w="1878"/>
            <w:vAlign w:val="center"/>
          </w:tcPr>
          <w:p>
            <w:pPr>
              <w:spacing w:line="264" w:lineRule="auto" w:before="60" w:after="60"/>
            </w:pPr>
            <w:r>
              <w:rPr>
                <w:sz w:val="20"/>
              </w:rPr>
              <w:t>mean_ba</w:t>
            </w:r>
          </w:p>
        </w:tc>
        <w:tc>
          <w:tcPr>
            <w:tcW w:type="dxa" w:w="1878"/>
            <w:vAlign w:val="center"/>
          </w:tcPr>
          <w:p>
            <w:pPr>
              <w:spacing w:line="264" w:lineRule="auto" w:before="60" w:after="60"/>
            </w:pPr>
            <w:r>
              <w:rPr>
                <w:sz w:val="20"/>
              </w:rPr>
              <w:t>27</w:t>
            </w:r>
          </w:p>
        </w:tc>
        <w:tc>
          <w:tcPr>
            <w:tcW w:type="dxa" w:w="1878"/>
            <w:vAlign w:val="center"/>
          </w:tcPr>
          <w:p>
            <w:pPr>
              <w:spacing w:line="264" w:lineRule="auto" w:before="60" w:after="60"/>
            </w:pPr>
            <w:r>
              <w:rPr>
                <w:sz w:val="20"/>
              </w:rPr>
              <w:t>63.6520</w:t>
            </w:r>
          </w:p>
        </w:tc>
        <w:tc>
          <w:tcPr>
            <w:tcW w:type="dxa" w:w="1878"/>
            <w:vAlign w:val="center"/>
          </w:tcPr>
          <w:p>
            <w:pPr>
              <w:spacing w:line="264" w:lineRule="auto" w:before="60" w:after="60"/>
            </w:pPr>
            <w:r>
              <w:rPr>
                <w:sz w:val="20"/>
              </w:rPr>
              <w:t>45.9608</w:t>
            </w:r>
          </w:p>
        </w:tc>
      </w:tr>
      <w:tr>
        <w:trPr>
          <w:cantSplit/>
        </w:trPr>
        <w:tc>
          <w:tcPr>
            <w:tcW w:type="dxa" w:w="1878"/>
            <w:vAlign w:val="center"/>
          </w:tcPr>
          <w:p>
            <w:pPr>
              <w:spacing w:line="264" w:lineRule="auto" w:before="60" w:after="60"/>
            </w:pPr>
            <w:r>
              <w:rPr>
                <w:sz w:val="20"/>
              </w:rPr>
              <w:t>S29</w:t>
            </w:r>
          </w:p>
        </w:tc>
        <w:tc>
          <w:tcPr>
            <w:tcW w:type="dxa" w:w="1878"/>
            <w:vAlign w:val="center"/>
          </w:tcPr>
          <w:p>
            <w:pPr>
              <w:spacing w:line="264" w:lineRule="auto" w:before="60" w:after="60"/>
            </w:pPr>
            <w:r>
              <w:rPr>
                <w:sz w:val="20"/>
              </w:rPr>
              <w:t>tail_ce</w:t>
            </w:r>
          </w:p>
        </w:tc>
        <w:tc>
          <w:tcPr>
            <w:tcW w:type="dxa" w:w="1878"/>
            <w:vAlign w:val="center"/>
          </w:tcPr>
          <w:p>
            <w:pPr>
              <w:spacing w:line="264" w:lineRule="auto" w:before="60" w:after="60"/>
            </w:pPr>
            <w:r>
              <w:rPr>
                <w:sz w:val="20"/>
              </w:rPr>
              <w:t>1</w:t>
            </w:r>
          </w:p>
        </w:tc>
        <w:tc>
          <w:tcPr>
            <w:tcW w:type="dxa" w:w="1878"/>
            <w:vAlign w:val="center"/>
          </w:tcPr>
          <w:p>
            <w:pPr>
              <w:spacing w:line="264" w:lineRule="auto" w:before="60" w:after="60"/>
            </w:pPr>
            <w:r>
              <w:rPr>
                <w:sz w:val="20"/>
              </w:rPr>
              <w:t>52.1029</w:t>
            </w:r>
          </w:p>
        </w:tc>
        <w:tc>
          <w:tcPr>
            <w:tcW w:type="dxa" w:w="1878"/>
            <w:vAlign w:val="center"/>
          </w:tcPr>
          <w:p>
            <w:pPr>
              <w:spacing w:line="264" w:lineRule="auto" w:before="60" w:after="60"/>
            </w:pPr>
            <w:r>
              <w:rPr>
                <w:sz w:val="20"/>
              </w:rPr>
              <w:t>4.8039</w:t>
            </w:r>
          </w:p>
        </w:tc>
      </w:tr>
      <w:tr>
        <w:trPr>
          <w:cantSplit/>
        </w:trPr>
        <w:tc>
          <w:tcPr>
            <w:tcW w:type="dxa" w:w="1878"/>
            <w:vAlign w:val="center"/>
          </w:tcPr>
          <w:p>
            <w:pPr>
              <w:spacing w:line="264" w:lineRule="auto" w:before="60" w:after="60"/>
            </w:pPr>
            <w:r>
              <w:rPr>
                <w:sz w:val="20"/>
              </w:rPr>
              <w:t>S29</w:t>
            </w:r>
          </w:p>
        </w:tc>
        <w:tc>
          <w:tcPr>
            <w:tcW w:type="dxa" w:w="1878"/>
            <w:vAlign w:val="center"/>
          </w:tcPr>
          <w:p>
            <w:pPr>
              <w:spacing w:line="264" w:lineRule="auto" w:before="60" w:after="60"/>
            </w:pPr>
            <w:r>
              <w:rPr>
                <w:sz w:val="20"/>
              </w:rPr>
              <w:t>tail_ba</w:t>
            </w:r>
          </w:p>
        </w:tc>
        <w:tc>
          <w:tcPr>
            <w:tcW w:type="dxa" w:w="1878"/>
            <w:vAlign w:val="center"/>
          </w:tcPr>
          <w:p>
            <w:pPr>
              <w:spacing w:line="264" w:lineRule="auto" w:before="60" w:after="60"/>
            </w:pPr>
            <w:r>
              <w:rPr>
                <w:sz w:val="20"/>
              </w:rPr>
              <w:t>37</w:t>
            </w:r>
          </w:p>
        </w:tc>
        <w:tc>
          <w:tcPr>
            <w:tcW w:type="dxa" w:w="1878"/>
            <w:vAlign w:val="center"/>
          </w:tcPr>
          <w:p>
            <w:pPr>
              <w:spacing w:line="264" w:lineRule="auto" w:before="60" w:after="60"/>
            </w:pPr>
            <w:r>
              <w:rPr>
                <w:sz w:val="20"/>
              </w:rPr>
              <w:t>64.2647</w:t>
            </w:r>
          </w:p>
        </w:tc>
        <w:tc>
          <w:tcPr>
            <w:tcW w:type="dxa" w:w="1878"/>
            <w:vAlign w:val="center"/>
          </w:tcPr>
          <w:p>
            <w:pPr>
              <w:spacing w:line="264" w:lineRule="auto" w:before="60" w:after="60"/>
            </w:pPr>
            <w:r>
              <w:rPr>
                <w:sz w:val="20"/>
              </w:rPr>
              <w:t>49.5294</w:t>
            </w:r>
          </w:p>
        </w:tc>
      </w:tr>
      <w:tr>
        <w:trPr>
          <w:cantSplit/>
        </w:trPr>
        <w:tc>
          <w:tcPr>
            <w:tcW w:type="dxa" w:w="1878"/>
            <w:vAlign w:val="center"/>
          </w:tcPr>
          <w:p>
            <w:pPr>
              <w:spacing w:line="264" w:lineRule="auto" w:before="60" w:after="60"/>
            </w:pPr>
            <w:r>
              <w:rPr>
                <w:sz w:val="20"/>
              </w:rPr>
              <w:t>S29</w:t>
            </w:r>
          </w:p>
        </w:tc>
        <w:tc>
          <w:tcPr>
            <w:tcW w:type="dxa" w:w="1878"/>
            <w:vAlign w:val="center"/>
          </w:tcPr>
          <w:p>
            <w:pPr>
              <w:spacing w:line="264" w:lineRule="auto" w:before="60" w:after="60"/>
            </w:pPr>
            <w:r>
              <w:rPr>
                <w:sz w:val="20"/>
              </w:rPr>
              <w:t>mean_min_recall</w:t>
            </w:r>
          </w:p>
        </w:tc>
        <w:tc>
          <w:tcPr>
            <w:tcW w:type="dxa" w:w="1878"/>
            <w:vAlign w:val="center"/>
          </w:tcPr>
          <w:p>
            <w:pPr>
              <w:spacing w:line="264" w:lineRule="auto" w:before="60" w:after="60"/>
            </w:pPr>
            <w:r>
              <w:rPr>
                <w:sz w:val="20"/>
              </w:rPr>
              <w:t>17</w:t>
            </w:r>
          </w:p>
        </w:tc>
        <w:tc>
          <w:tcPr>
            <w:tcW w:type="dxa" w:w="1878"/>
            <w:vAlign w:val="center"/>
          </w:tcPr>
          <w:p>
            <w:pPr>
              <w:spacing w:line="264" w:lineRule="auto" w:before="60" w:after="60"/>
            </w:pPr>
            <w:r>
              <w:rPr>
                <w:sz w:val="20"/>
              </w:rPr>
              <w:t>64.2010</w:t>
            </w:r>
          </w:p>
        </w:tc>
        <w:tc>
          <w:tcPr>
            <w:tcW w:type="dxa" w:w="1878"/>
            <w:vAlign w:val="center"/>
          </w:tcPr>
          <w:p>
            <w:pPr>
              <w:spacing w:line="264" w:lineRule="auto" w:before="60" w:after="60"/>
            </w:pPr>
            <w:r>
              <w:rPr>
                <w:sz w:val="20"/>
              </w:rPr>
              <w:t>47.9706</w:t>
            </w:r>
          </w:p>
        </w:tc>
      </w:tr>
      <w:tr>
        <w:trPr>
          <w:cantSplit/>
        </w:trPr>
        <w:tc>
          <w:tcPr>
            <w:tcW w:type="dxa" w:w="1878"/>
            <w:vAlign w:val="center"/>
          </w:tcPr>
          <w:p>
            <w:pPr>
              <w:spacing w:line="264" w:lineRule="auto" w:before="60" w:after="60"/>
            </w:pPr>
            <w:r>
              <w:rPr>
                <w:sz w:val="20"/>
              </w:rPr>
              <w:t>S29</w:t>
            </w:r>
          </w:p>
        </w:tc>
        <w:tc>
          <w:tcPr>
            <w:tcW w:type="dxa" w:w="1878"/>
            <w:vAlign w:val="center"/>
          </w:tcPr>
          <w:p>
            <w:pPr>
              <w:spacing w:line="264" w:lineRule="auto" w:before="60" w:after="60"/>
            </w:pPr>
            <w:r>
              <w:rPr>
                <w:sz w:val="20"/>
              </w:rPr>
              <w:t>tail_min_recall</w:t>
            </w:r>
          </w:p>
        </w:tc>
        <w:tc>
          <w:tcPr>
            <w:tcW w:type="dxa" w:w="1878"/>
            <w:vAlign w:val="center"/>
          </w:tcPr>
          <w:p>
            <w:pPr>
              <w:spacing w:line="264" w:lineRule="auto" w:before="60" w:after="60"/>
            </w:pPr>
            <w:r>
              <w:rPr>
                <w:sz w:val="20"/>
              </w:rPr>
              <w:t>9</w:t>
            </w:r>
          </w:p>
        </w:tc>
        <w:tc>
          <w:tcPr>
            <w:tcW w:type="dxa" w:w="1878"/>
            <w:vAlign w:val="center"/>
          </w:tcPr>
          <w:p>
            <w:pPr>
              <w:spacing w:line="264" w:lineRule="auto" w:before="60" w:after="60"/>
            </w:pPr>
            <w:r>
              <w:rPr>
                <w:sz w:val="20"/>
              </w:rPr>
              <w:t>63.6667</w:t>
            </w:r>
          </w:p>
        </w:tc>
        <w:tc>
          <w:tcPr>
            <w:tcW w:type="dxa" w:w="1878"/>
            <w:vAlign w:val="center"/>
          </w:tcPr>
          <w:p>
            <w:pPr>
              <w:spacing w:line="264" w:lineRule="auto" w:before="60" w:after="60"/>
            </w:pPr>
            <w:r>
              <w:rPr>
                <w:sz w:val="20"/>
              </w:rPr>
              <w:t>45.3922</w:t>
            </w:r>
          </w:p>
        </w:tc>
      </w:tr>
      <w:tr>
        <w:trPr>
          <w:cantSplit/>
        </w:trPr>
        <w:tc>
          <w:tcPr>
            <w:tcW w:type="dxa" w:w="1878"/>
            <w:vAlign w:val="center"/>
          </w:tcPr>
          <w:p>
            <w:pPr>
              <w:spacing w:line="264" w:lineRule="auto" w:before="60" w:after="60"/>
            </w:pPr>
            <w:r>
              <w:rPr>
                <w:sz w:val="20"/>
              </w:rPr>
              <w:t>S60</w:t>
            </w:r>
          </w:p>
        </w:tc>
        <w:tc>
          <w:tcPr>
            <w:tcW w:type="dxa" w:w="1878"/>
            <w:vAlign w:val="center"/>
          </w:tcPr>
          <w:p>
            <w:pPr>
              <w:spacing w:line="264" w:lineRule="auto" w:before="60" w:after="60"/>
            </w:pPr>
            <w:r>
              <w:rPr>
                <w:sz w:val="20"/>
              </w:rPr>
              <w:t>fixed20</w:t>
            </w:r>
          </w:p>
        </w:tc>
        <w:tc>
          <w:tcPr>
            <w:tcW w:type="dxa" w:w="1878"/>
            <w:vAlign w:val="center"/>
          </w:tcPr>
          <w:p>
            <w:pPr>
              <w:spacing w:line="264" w:lineRule="auto" w:before="60" w:after="60"/>
            </w:pPr>
            <w:r>
              <w:rPr>
                <w:sz w:val="20"/>
              </w:rPr>
              <w:t>20</w:t>
            </w:r>
          </w:p>
        </w:tc>
        <w:tc>
          <w:tcPr>
            <w:tcW w:type="dxa" w:w="1878"/>
            <w:vAlign w:val="center"/>
          </w:tcPr>
          <w:p>
            <w:pPr>
              <w:spacing w:line="264" w:lineRule="auto" w:before="60" w:after="60"/>
            </w:pPr>
            <w:r>
              <w:rPr>
                <w:sz w:val="20"/>
              </w:rPr>
              <w:t>64.6225</w:t>
            </w:r>
          </w:p>
        </w:tc>
        <w:tc>
          <w:tcPr>
            <w:tcW w:type="dxa" w:w="1878"/>
            <w:vAlign w:val="center"/>
          </w:tcPr>
          <w:p>
            <w:pPr>
              <w:spacing w:line="264" w:lineRule="auto" w:before="60" w:after="60"/>
            </w:pPr>
            <w:r>
              <w:rPr>
                <w:sz w:val="20"/>
              </w:rPr>
              <w:t>49.6471</w:t>
            </w:r>
          </w:p>
        </w:tc>
      </w:tr>
      <w:tr>
        <w:trPr>
          <w:cantSplit/>
        </w:trPr>
        <w:tc>
          <w:tcPr>
            <w:tcW w:type="dxa" w:w="1878"/>
            <w:vAlign w:val="center"/>
          </w:tcPr>
          <w:p>
            <w:pPr>
              <w:spacing w:line="264" w:lineRule="auto" w:before="60" w:after="60"/>
            </w:pPr>
            <w:r>
              <w:rPr>
                <w:sz w:val="20"/>
              </w:rPr>
              <w:t>S60</w:t>
            </w:r>
          </w:p>
        </w:tc>
        <w:tc>
          <w:tcPr>
            <w:tcW w:type="dxa" w:w="1878"/>
            <w:vAlign w:val="center"/>
          </w:tcPr>
          <w:p>
            <w:pPr>
              <w:spacing w:line="264" w:lineRule="auto" w:before="60" w:after="60"/>
            </w:pPr>
            <w:r>
              <w:rPr>
                <w:sz w:val="20"/>
              </w:rPr>
              <w:t>mean_ce</w:t>
            </w:r>
          </w:p>
        </w:tc>
        <w:tc>
          <w:tcPr>
            <w:tcW w:type="dxa" w:w="1878"/>
            <w:vAlign w:val="center"/>
          </w:tcPr>
          <w:p>
            <w:pPr>
              <w:spacing w:line="264" w:lineRule="auto" w:before="60" w:after="60"/>
            </w:pPr>
            <w:r>
              <w:rPr>
                <w:sz w:val="20"/>
              </w:rPr>
              <w:t>3</w:t>
            </w:r>
          </w:p>
        </w:tc>
        <w:tc>
          <w:tcPr>
            <w:tcW w:type="dxa" w:w="1878"/>
            <w:vAlign w:val="center"/>
          </w:tcPr>
          <w:p>
            <w:pPr>
              <w:spacing w:line="264" w:lineRule="auto" w:before="60" w:after="60"/>
            </w:pPr>
            <w:r>
              <w:rPr>
                <w:sz w:val="20"/>
              </w:rPr>
              <w:t>63.7402</w:t>
            </w:r>
          </w:p>
        </w:tc>
        <w:tc>
          <w:tcPr>
            <w:tcW w:type="dxa" w:w="1878"/>
            <w:vAlign w:val="center"/>
          </w:tcPr>
          <w:p>
            <w:pPr>
              <w:spacing w:line="264" w:lineRule="auto" w:before="60" w:after="60"/>
            </w:pPr>
            <w:r>
              <w:rPr>
                <w:sz w:val="20"/>
              </w:rPr>
              <w:t>46.7353</w:t>
            </w:r>
          </w:p>
        </w:tc>
      </w:tr>
      <w:tr>
        <w:trPr>
          <w:cantSplit/>
        </w:trPr>
        <w:tc>
          <w:tcPr>
            <w:tcW w:type="dxa" w:w="1878"/>
            <w:vAlign w:val="center"/>
          </w:tcPr>
          <w:p>
            <w:pPr>
              <w:spacing w:line="264" w:lineRule="auto" w:before="60" w:after="60"/>
            </w:pPr>
            <w:r>
              <w:rPr>
                <w:sz w:val="20"/>
              </w:rPr>
              <w:t>S60</w:t>
            </w:r>
          </w:p>
        </w:tc>
        <w:tc>
          <w:tcPr>
            <w:tcW w:type="dxa" w:w="1878"/>
            <w:vAlign w:val="center"/>
          </w:tcPr>
          <w:p>
            <w:pPr>
              <w:spacing w:line="264" w:lineRule="auto" w:before="60" w:after="60"/>
            </w:pPr>
            <w:r>
              <w:rPr>
                <w:sz w:val="20"/>
              </w:rPr>
              <w:t>mean_rank</w:t>
            </w:r>
          </w:p>
        </w:tc>
        <w:tc>
          <w:tcPr>
            <w:tcW w:type="dxa" w:w="1878"/>
            <w:vAlign w:val="center"/>
          </w:tcPr>
          <w:p>
            <w:pPr>
              <w:spacing w:line="264" w:lineRule="auto" w:before="60" w:after="60"/>
            </w:pPr>
            <w:r>
              <w:rPr>
                <w:sz w:val="20"/>
              </w:rPr>
              <w:t>9</w:t>
            </w:r>
          </w:p>
        </w:tc>
        <w:tc>
          <w:tcPr>
            <w:tcW w:type="dxa" w:w="1878"/>
            <w:vAlign w:val="center"/>
          </w:tcPr>
          <w:p>
            <w:pPr>
              <w:spacing w:line="264" w:lineRule="auto" w:before="60" w:after="60"/>
            </w:pPr>
            <w:r>
              <w:rPr>
                <w:sz w:val="20"/>
              </w:rPr>
              <w:t>64.0686</w:t>
            </w:r>
          </w:p>
        </w:tc>
        <w:tc>
          <w:tcPr>
            <w:tcW w:type="dxa" w:w="1878"/>
            <w:vAlign w:val="center"/>
          </w:tcPr>
          <w:p>
            <w:pPr>
              <w:spacing w:line="264" w:lineRule="auto" w:before="60" w:after="60"/>
            </w:pPr>
            <w:r>
              <w:rPr>
                <w:sz w:val="20"/>
              </w:rPr>
              <w:t>46.5980</w:t>
            </w:r>
          </w:p>
        </w:tc>
      </w:tr>
      <w:tr>
        <w:trPr>
          <w:cantSplit/>
        </w:trPr>
        <w:tc>
          <w:tcPr>
            <w:tcW w:type="dxa" w:w="1878"/>
            <w:vAlign w:val="center"/>
          </w:tcPr>
          <w:p>
            <w:pPr>
              <w:spacing w:line="264" w:lineRule="auto" w:before="60" w:after="60"/>
            </w:pPr>
            <w:r>
              <w:rPr>
                <w:sz w:val="20"/>
              </w:rPr>
              <w:t>S60</w:t>
            </w:r>
          </w:p>
        </w:tc>
        <w:tc>
          <w:tcPr>
            <w:tcW w:type="dxa" w:w="1878"/>
            <w:vAlign w:val="center"/>
          </w:tcPr>
          <w:p>
            <w:pPr>
              <w:spacing w:line="264" w:lineRule="auto" w:before="60" w:after="60"/>
            </w:pPr>
            <w:r>
              <w:rPr>
                <w:sz w:val="20"/>
              </w:rPr>
              <w:t>mean_ba</w:t>
            </w:r>
          </w:p>
        </w:tc>
        <w:tc>
          <w:tcPr>
            <w:tcW w:type="dxa" w:w="1878"/>
            <w:vAlign w:val="center"/>
          </w:tcPr>
          <w:p>
            <w:pPr>
              <w:spacing w:line="264" w:lineRule="auto" w:before="60" w:after="60"/>
            </w:pPr>
            <w:r>
              <w:rPr>
                <w:sz w:val="20"/>
              </w:rPr>
              <w:t>31</w:t>
            </w:r>
          </w:p>
        </w:tc>
        <w:tc>
          <w:tcPr>
            <w:tcW w:type="dxa" w:w="1878"/>
            <w:vAlign w:val="center"/>
          </w:tcPr>
          <w:p>
            <w:pPr>
              <w:spacing w:line="264" w:lineRule="auto" w:before="60" w:after="60"/>
            </w:pPr>
            <w:r>
              <w:rPr>
                <w:sz w:val="20"/>
              </w:rPr>
              <w:t>63.4118</w:t>
            </w:r>
          </w:p>
        </w:tc>
        <w:tc>
          <w:tcPr>
            <w:tcW w:type="dxa" w:w="1878"/>
            <w:vAlign w:val="center"/>
          </w:tcPr>
          <w:p>
            <w:pPr>
              <w:spacing w:line="264" w:lineRule="auto" w:before="60" w:after="60"/>
            </w:pPr>
            <w:r>
              <w:rPr>
                <w:sz w:val="20"/>
              </w:rPr>
              <w:t>46.5882</w:t>
            </w:r>
          </w:p>
        </w:tc>
      </w:tr>
      <w:tr>
        <w:trPr>
          <w:cantSplit/>
        </w:trPr>
        <w:tc>
          <w:tcPr>
            <w:tcW w:type="dxa" w:w="1878"/>
            <w:vAlign w:val="center"/>
          </w:tcPr>
          <w:p>
            <w:pPr>
              <w:spacing w:line="264" w:lineRule="auto" w:before="60" w:after="60"/>
            </w:pPr>
            <w:r>
              <w:rPr>
                <w:sz w:val="20"/>
              </w:rPr>
              <w:t>S60</w:t>
            </w:r>
          </w:p>
        </w:tc>
        <w:tc>
          <w:tcPr>
            <w:tcW w:type="dxa" w:w="1878"/>
            <w:vAlign w:val="center"/>
          </w:tcPr>
          <w:p>
            <w:pPr>
              <w:spacing w:line="264" w:lineRule="auto" w:before="60" w:after="60"/>
            </w:pPr>
            <w:r>
              <w:rPr>
                <w:sz w:val="20"/>
              </w:rPr>
              <w:t>tail_ce</w:t>
            </w:r>
          </w:p>
        </w:tc>
        <w:tc>
          <w:tcPr>
            <w:tcW w:type="dxa" w:w="1878"/>
            <w:vAlign w:val="center"/>
          </w:tcPr>
          <w:p>
            <w:pPr>
              <w:spacing w:line="264" w:lineRule="auto" w:before="60" w:after="60"/>
            </w:pPr>
            <w:r>
              <w:rPr>
                <w:sz w:val="20"/>
              </w:rPr>
              <w:t>1</w:t>
            </w:r>
          </w:p>
        </w:tc>
        <w:tc>
          <w:tcPr>
            <w:tcW w:type="dxa" w:w="1878"/>
            <w:vAlign w:val="center"/>
          </w:tcPr>
          <w:p>
            <w:pPr>
              <w:spacing w:line="264" w:lineRule="auto" w:before="60" w:after="60"/>
            </w:pPr>
            <w:r>
              <w:rPr>
                <w:sz w:val="20"/>
              </w:rPr>
              <w:t>52.9216</w:t>
            </w:r>
          </w:p>
        </w:tc>
        <w:tc>
          <w:tcPr>
            <w:tcW w:type="dxa" w:w="1878"/>
            <w:vAlign w:val="center"/>
          </w:tcPr>
          <w:p>
            <w:pPr>
              <w:spacing w:line="264" w:lineRule="auto" w:before="60" w:after="60"/>
            </w:pPr>
            <w:r>
              <w:rPr>
                <w:sz w:val="20"/>
              </w:rPr>
              <w:t>8.2745</w:t>
            </w:r>
          </w:p>
        </w:tc>
      </w:tr>
      <w:tr>
        <w:trPr>
          <w:cantSplit/>
        </w:trPr>
        <w:tc>
          <w:tcPr>
            <w:tcW w:type="dxa" w:w="1878"/>
            <w:vAlign w:val="center"/>
          </w:tcPr>
          <w:p>
            <w:pPr>
              <w:spacing w:line="264" w:lineRule="auto" w:before="60" w:after="60"/>
            </w:pPr>
            <w:r>
              <w:rPr>
                <w:sz w:val="20"/>
              </w:rPr>
              <w:t>S60</w:t>
            </w:r>
          </w:p>
        </w:tc>
        <w:tc>
          <w:tcPr>
            <w:tcW w:type="dxa" w:w="1878"/>
            <w:vAlign w:val="center"/>
          </w:tcPr>
          <w:p>
            <w:pPr>
              <w:spacing w:line="264" w:lineRule="auto" w:before="60" w:after="60"/>
            </w:pPr>
            <w:r>
              <w:rPr>
                <w:sz w:val="20"/>
              </w:rPr>
              <w:t>tail_ba</w:t>
            </w:r>
          </w:p>
        </w:tc>
        <w:tc>
          <w:tcPr>
            <w:tcW w:type="dxa" w:w="1878"/>
            <w:vAlign w:val="center"/>
          </w:tcPr>
          <w:p>
            <w:pPr>
              <w:spacing w:line="264" w:lineRule="auto" w:before="60" w:after="60"/>
            </w:pPr>
            <w:r>
              <w:rPr>
                <w:sz w:val="20"/>
              </w:rPr>
              <w:t>34</w:t>
            </w:r>
          </w:p>
        </w:tc>
        <w:tc>
          <w:tcPr>
            <w:tcW w:type="dxa" w:w="1878"/>
            <w:vAlign w:val="center"/>
          </w:tcPr>
          <w:p>
            <w:pPr>
              <w:spacing w:line="264" w:lineRule="auto" w:before="60" w:after="60"/>
            </w:pPr>
            <w:r>
              <w:rPr>
                <w:sz w:val="20"/>
              </w:rPr>
              <w:t>63.8480</w:t>
            </w:r>
          </w:p>
        </w:tc>
        <w:tc>
          <w:tcPr>
            <w:tcW w:type="dxa" w:w="1878"/>
            <w:vAlign w:val="center"/>
          </w:tcPr>
          <w:p>
            <w:pPr>
              <w:spacing w:line="264" w:lineRule="auto" w:before="60" w:after="60"/>
            </w:pPr>
            <w:r>
              <w:rPr>
                <w:sz w:val="20"/>
              </w:rPr>
              <w:t>47.9804</w:t>
            </w:r>
          </w:p>
        </w:tc>
      </w:tr>
      <w:tr>
        <w:trPr>
          <w:cantSplit/>
        </w:trPr>
        <w:tc>
          <w:tcPr>
            <w:tcW w:type="dxa" w:w="1878"/>
            <w:vAlign w:val="center"/>
          </w:tcPr>
          <w:p>
            <w:pPr>
              <w:spacing w:line="264" w:lineRule="auto" w:before="60" w:after="60"/>
            </w:pPr>
            <w:r>
              <w:rPr>
                <w:sz w:val="20"/>
              </w:rPr>
              <w:t>S60</w:t>
            </w:r>
          </w:p>
        </w:tc>
        <w:tc>
          <w:tcPr>
            <w:tcW w:type="dxa" w:w="1878"/>
            <w:vAlign w:val="center"/>
          </w:tcPr>
          <w:p>
            <w:pPr>
              <w:spacing w:line="264" w:lineRule="auto" w:before="60" w:after="60"/>
            </w:pPr>
            <w:r>
              <w:rPr>
                <w:sz w:val="20"/>
              </w:rPr>
              <w:t>mean_min_recall</w:t>
            </w:r>
          </w:p>
        </w:tc>
        <w:tc>
          <w:tcPr>
            <w:tcW w:type="dxa" w:w="1878"/>
            <w:vAlign w:val="center"/>
          </w:tcPr>
          <w:p>
            <w:pPr>
              <w:spacing w:line="264" w:lineRule="auto" w:before="60" w:after="60"/>
            </w:pPr>
            <w:r>
              <w:rPr>
                <w:sz w:val="20"/>
              </w:rPr>
              <w:t>7</w:t>
            </w:r>
          </w:p>
        </w:tc>
        <w:tc>
          <w:tcPr>
            <w:tcW w:type="dxa" w:w="1878"/>
            <w:vAlign w:val="center"/>
          </w:tcPr>
          <w:p>
            <w:pPr>
              <w:spacing w:line="264" w:lineRule="auto" w:before="60" w:after="60"/>
            </w:pPr>
            <w:r>
              <w:rPr>
                <w:sz w:val="20"/>
              </w:rPr>
              <w:t>63.8775</w:t>
            </w:r>
          </w:p>
        </w:tc>
        <w:tc>
          <w:tcPr>
            <w:tcW w:type="dxa" w:w="1878"/>
            <w:vAlign w:val="center"/>
          </w:tcPr>
          <w:p>
            <w:pPr>
              <w:spacing w:line="264" w:lineRule="auto" w:before="60" w:after="60"/>
            </w:pPr>
            <w:r>
              <w:rPr>
                <w:sz w:val="20"/>
              </w:rPr>
              <w:t>45.5686</w:t>
            </w:r>
          </w:p>
        </w:tc>
      </w:tr>
      <w:tr>
        <w:trPr>
          <w:cantSplit/>
        </w:trPr>
        <w:tc>
          <w:tcPr>
            <w:tcW w:type="dxa" w:w="1878"/>
            <w:vAlign w:val="center"/>
          </w:tcPr>
          <w:p>
            <w:pPr>
              <w:spacing w:line="264" w:lineRule="auto" w:before="60" w:after="60"/>
            </w:pPr>
            <w:r>
              <w:rPr>
                <w:sz w:val="20"/>
              </w:rPr>
              <w:t>S60</w:t>
            </w:r>
          </w:p>
        </w:tc>
        <w:tc>
          <w:tcPr>
            <w:tcW w:type="dxa" w:w="1878"/>
            <w:vAlign w:val="center"/>
          </w:tcPr>
          <w:p>
            <w:pPr>
              <w:spacing w:line="264" w:lineRule="auto" w:before="60" w:after="60"/>
            </w:pPr>
            <w:r>
              <w:rPr>
                <w:sz w:val="20"/>
              </w:rPr>
              <w:t>tail_min_recall</w:t>
            </w:r>
          </w:p>
        </w:tc>
        <w:tc>
          <w:tcPr>
            <w:tcW w:type="dxa" w:w="1878"/>
            <w:vAlign w:val="center"/>
          </w:tcPr>
          <w:p>
            <w:pPr>
              <w:spacing w:line="264" w:lineRule="auto" w:before="60" w:after="60"/>
            </w:pPr>
            <w:r>
              <w:rPr>
                <w:sz w:val="20"/>
              </w:rPr>
              <w:t>7</w:t>
            </w:r>
          </w:p>
        </w:tc>
        <w:tc>
          <w:tcPr>
            <w:tcW w:type="dxa" w:w="1878"/>
            <w:vAlign w:val="center"/>
          </w:tcPr>
          <w:p>
            <w:pPr>
              <w:spacing w:line="264" w:lineRule="auto" w:before="60" w:after="60"/>
            </w:pPr>
            <w:r>
              <w:rPr>
                <w:sz w:val="20"/>
              </w:rPr>
              <w:t>63.8775</w:t>
            </w:r>
          </w:p>
        </w:tc>
        <w:tc>
          <w:tcPr>
            <w:tcW w:type="dxa" w:w="1878"/>
            <w:vAlign w:val="center"/>
          </w:tcPr>
          <w:p>
            <w:pPr>
              <w:spacing w:line="264" w:lineRule="auto" w:before="60" w:after="60"/>
            </w:pPr>
            <w:r>
              <w:rPr>
                <w:sz w:val="20"/>
              </w:rPr>
              <w:t>45.5686</w:t>
            </w:r>
          </w:p>
        </w:tc>
      </w:tr>
    </w:tbl>
    <w:p/>
    <w:p>
      <w:pPr>
        <w:pStyle w:val="Heading1"/>
      </w:pPr>
      <w:r>
        <w:rPr/>
        <w:t>7. Historical evidence retained separately</w:t>
      </w:r>
    </w:p>
    <w:p>
      <w:r>
        <w:rPr>
          <w:b/>
        </w:rPr>
        <w:t>S5 Table. Earlier research findings and their distinct roles.</w:t>
      </w:r>
      <w:r>
        <w:rPr/>
        <w:t xml:space="preserve"> These observations motivated the redesign and remain available in their original frozen records. They are not additional participants or replication cohorts for the current 18-channel source-expansion estimate.</w:t>
      </w:r>
    </w:p>
    <w:tbl>
      <w:tblPr>
        <w:tblStyle w:val="TableGrid"/>
        <w:tblW w:type="auto" w:w="0"/>
        <w:jc w:val="center"/>
        <w:tblLayout w:type="fixed"/>
        <w:tblLook w:firstColumn="1" w:firstRow="1" w:lastColumn="0" w:lastRow="0" w:noHBand="0" w:noVBand="1" w:val="04A0"/>
      </w:tblPr>
      <w:tblGrid>
        <w:gridCol w:w="3286"/>
        <w:gridCol w:w="3051"/>
        <w:gridCol w:w="3051"/>
      </w:tblGrid>
      <w:tr>
        <w:trPr>
          <w:cantSplit/>
          <w:tblHeader/>
        </w:trPr>
        <w:tc>
          <w:tcPr>
            <w:tcW w:type="dxa" w:w="3286"/>
            <w:vAlign w:val="center"/>
          </w:tcPr>
          <w:p>
            <w:pPr>
              <w:spacing w:line="264" w:lineRule="auto" w:before="60" w:after="60"/>
            </w:pPr>
            <w:r>
              <w:rPr>
                <w:b/>
                <w:sz w:val="22"/>
              </w:rPr>
              <w:t>Archived analysis</w:t>
            </w:r>
          </w:p>
        </w:tc>
        <w:tc>
          <w:tcPr>
            <w:tcW w:type="dxa" w:w="3051"/>
            <w:vAlign w:val="center"/>
          </w:tcPr>
          <w:p>
            <w:pPr>
              <w:spacing w:line="264" w:lineRule="auto" w:before="60" w:after="60"/>
            </w:pPr>
            <w:r>
              <w:rPr>
                <w:b/>
                <w:sz w:val="22"/>
              </w:rPr>
              <w:t>Retained finding</w:t>
            </w:r>
          </w:p>
        </w:tc>
        <w:tc>
          <w:tcPr>
            <w:tcW w:type="dxa" w:w="3051"/>
            <w:vAlign w:val="center"/>
          </w:tcPr>
          <w:p>
            <w:pPr>
              <w:spacing w:line="264" w:lineRule="auto" w:before="60" w:after="60"/>
            </w:pPr>
            <w:r>
              <w:rPr>
                <w:b/>
                <w:sz w:val="22"/>
              </w:rPr>
              <w:t>Role in the current manuscript</w:t>
            </w:r>
          </w:p>
        </w:tc>
      </w:tr>
      <w:tr>
        <w:trPr>
          <w:cantSplit/>
        </w:trPr>
        <w:tc>
          <w:tcPr>
            <w:tcW w:type="dxa" w:w="3286"/>
            <w:vAlign w:val="center"/>
          </w:tcPr>
          <w:p>
            <w:pPr>
              <w:spacing w:line="264" w:lineRule="auto" w:before="60" w:after="60"/>
            </w:pPr>
            <w:r>
              <w:rPr>
                <w:sz w:val="22"/>
              </w:rPr>
              <w:t>BNCI four-class mean-rank versus mean-loss development</w:t>
            </w:r>
          </w:p>
        </w:tc>
        <w:tc>
          <w:tcPr>
            <w:tcW w:type="dxa" w:w="3051"/>
            <w:vAlign w:val="center"/>
          </w:tcPr>
          <w:p>
            <w:pPr>
              <w:spacing w:line="264" w:lineRule="auto" w:before="60" w:after="60"/>
            </w:pPr>
            <w:r>
              <w:rPr>
                <w:sz w:val="22"/>
              </w:rPr>
              <w:t>BA 33.72% to 42.67%; S3/S8 contributed 87.57% of signed aggregate gain</w:t>
            </w:r>
          </w:p>
        </w:tc>
        <w:tc>
          <w:tcPr>
            <w:tcW w:type="dxa" w:w="3051"/>
            <w:vAlign w:val="center"/>
          </w:tcPr>
          <w:p>
            <w:pPr>
              <w:spacing w:line="264" w:lineRule="auto" w:before="60" w:after="60"/>
            </w:pPr>
            <w:r>
              <w:rPr>
                <w:sz w:val="22"/>
              </w:rPr>
              <w:t>Exploratory motivation for participant-level reporting</w:t>
            </w:r>
          </w:p>
        </w:tc>
      </w:tr>
      <w:tr>
        <w:trPr>
          <w:cantSplit/>
        </w:trPr>
        <w:tc>
          <w:tcPr>
            <w:tcW w:type="dxa" w:w="3286"/>
            <w:vAlign w:val="center"/>
          </w:tcPr>
          <w:p>
            <w:pPr>
              <w:spacing w:line="264" w:lineRule="auto" w:before="60" w:after="60"/>
            </w:pPr>
            <w:r>
              <w:rPr>
                <w:sz w:val="22"/>
              </w:rPr>
              <w:t>Fixed20 versus matched-runtime historical loss-schedule replay</w:t>
            </w:r>
          </w:p>
        </w:tc>
        <w:tc>
          <w:tcPr>
            <w:tcW w:type="dxa" w:w="3051"/>
            <w:vAlign w:val="center"/>
          </w:tcPr>
          <w:p>
            <w:pPr>
              <w:spacing w:line="264" w:lineRule="auto" w:before="60" w:after="60"/>
            </w:pPr>
            <w:r>
              <w:rPr>
                <w:sz w:val="22"/>
              </w:rPr>
              <w:t>Mean BA difference +10.06 pp; four of nine improved</w:t>
            </w:r>
          </w:p>
        </w:tc>
        <w:tc>
          <w:tcPr>
            <w:tcW w:type="dxa" w:w="3051"/>
            <w:vAlign w:val="center"/>
          </w:tcPr>
          <w:p>
            <w:pPr>
              <w:spacing w:line="264" w:lineRule="auto" w:before="60" w:after="60"/>
            </w:pPr>
            <w:r>
              <w:rPr>
                <w:sz w:val="22"/>
              </w:rPr>
              <w:t>Earlier schedule sensitivity, separate protocol</w:t>
            </w:r>
          </w:p>
        </w:tc>
      </w:tr>
      <w:tr>
        <w:trPr>
          <w:cantSplit/>
        </w:trPr>
        <w:tc>
          <w:tcPr>
            <w:tcW w:type="dxa" w:w="3286"/>
            <w:vAlign w:val="center"/>
          </w:tcPr>
          <w:p>
            <w:pPr>
              <w:spacing w:line="264" w:lineRule="auto" w:before="60" w:after="60"/>
            </w:pPr>
            <w:r>
              <w:rPr>
                <w:sz w:val="22"/>
              </w:rPr>
              <w:t>Corrected robustness controls</w:t>
            </w:r>
          </w:p>
        </w:tc>
        <w:tc>
          <w:tcPr>
            <w:tcW w:type="dxa" w:w="3051"/>
            <w:vAlign w:val="center"/>
          </w:tcPr>
          <w:p>
            <w:pPr>
              <w:spacing w:line="264" w:lineRule="auto" w:before="60" w:after="60"/>
            </w:pPr>
            <w:r>
              <w:rPr>
                <w:sz w:val="22"/>
              </w:rPr>
              <w:t>No corrected established gain</w:t>
            </w:r>
          </w:p>
        </w:tc>
        <w:tc>
          <w:tcPr>
            <w:tcW w:type="dxa" w:w="3051"/>
            <w:vAlign w:val="center"/>
          </w:tcPr>
          <w:p>
            <w:pPr>
              <w:spacing w:line="264" w:lineRule="auto" w:before="60" w:after="60"/>
            </w:pPr>
            <w:r>
              <w:rPr>
                <w:sz w:val="22"/>
              </w:rPr>
              <w:t>Retained null evidence</w:t>
            </w:r>
          </w:p>
        </w:tc>
      </w:tr>
      <w:tr>
        <w:trPr>
          <w:cantSplit/>
        </w:trPr>
        <w:tc>
          <w:tcPr>
            <w:tcW w:type="dxa" w:w="3286"/>
            <w:vAlign w:val="center"/>
          </w:tcPr>
          <w:p>
            <w:pPr>
              <w:spacing w:line="264" w:lineRule="auto" w:before="60" w:after="60"/>
            </w:pPr>
            <w:r>
              <w:rPr>
                <w:sz w:val="22"/>
              </w:rPr>
              <w:t>PhysioNet shared-minus-broad</w:t>
            </w:r>
          </w:p>
        </w:tc>
        <w:tc>
          <w:tcPr>
            <w:tcW w:type="dxa" w:w="3051"/>
            <w:vAlign w:val="center"/>
          </w:tcPr>
          <w:p>
            <w:pPr>
              <w:spacing w:line="264" w:lineRule="auto" w:before="60" w:after="60"/>
            </w:pPr>
            <w:r>
              <w:rPr>
                <w:sz w:val="22"/>
              </w:rPr>
              <w:t>+0.573 pp; superiority not established</w:t>
            </w:r>
          </w:p>
        </w:tc>
        <w:tc>
          <w:tcPr>
            <w:tcW w:type="dxa" w:w="3051"/>
            <w:vAlign w:val="center"/>
          </w:tcPr>
          <w:p>
            <w:pPr>
              <w:spacing w:line="264" w:lineRule="auto" w:before="60" w:after="60"/>
            </w:pPr>
            <w:r>
              <w:rPr>
                <w:sz w:val="22"/>
              </w:rPr>
              <w:t>Historical complete-pipeline contrast</w:t>
            </w:r>
          </w:p>
        </w:tc>
      </w:tr>
      <w:tr>
        <w:trPr>
          <w:cantSplit/>
        </w:trPr>
        <w:tc>
          <w:tcPr>
            <w:tcW w:type="dxa" w:w="3286"/>
            <w:vAlign w:val="center"/>
          </w:tcPr>
          <w:p>
            <w:pPr>
              <w:spacing w:line="264" w:lineRule="auto" w:before="60" w:after="60"/>
            </w:pPr>
            <w:r>
              <w:rPr>
                <w:sz w:val="22"/>
              </w:rPr>
              <w:t>Cho2017 shared-minus-broad</w:t>
            </w:r>
          </w:p>
        </w:tc>
        <w:tc>
          <w:tcPr>
            <w:tcW w:type="dxa" w:w="3051"/>
            <w:vAlign w:val="center"/>
          </w:tcPr>
          <w:p>
            <w:pPr>
              <w:spacing w:line="264" w:lineRule="auto" w:before="60" w:after="60"/>
            </w:pPr>
            <w:r>
              <w:rPr>
                <w:sz w:val="22"/>
              </w:rPr>
              <w:t>−1.513 pp balanced accuracy</w:t>
            </w:r>
          </w:p>
        </w:tc>
        <w:tc>
          <w:tcPr>
            <w:tcW w:type="dxa" w:w="3051"/>
            <w:vAlign w:val="center"/>
          </w:tcPr>
          <w:p>
            <w:pPr>
              <w:spacing w:line="264" w:lineRule="auto" w:before="60" w:after="60"/>
            </w:pPr>
            <w:r>
              <w:rPr>
                <w:sz w:val="22"/>
              </w:rPr>
              <w:t>Historical adverse complete-pipeline contrast</w:t>
            </w:r>
          </w:p>
        </w:tc>
      </w:tr>
      <w:tr>
        <w:trPr>
          <w:cantSplit/>
        </w:trPr>
        <w:tc>
          <w:tcPr>
            <w:tcW w:type="dxa" w:w="3286"/>
            <w:vAlign w:val="center"/>
          </w:tcPr>
          <w:p>
            <w:pPr>
              <w:spacing w:line="264" w:lineRule="auto" w:before="60" w:after="60"/>
            </w:pPr>
            <w:r>
              <w:rPr>
                <w:sz w:val="22"/>
              </w:rPr>
              <w:t>Lee2019 shared-minus-broad</w:t>
            </w:r>
          </w:p>
        </w:tc>
        <w:tc>
          <w:tcPr>
            <w:tcW w:type="dxa" w:w="3051"/>
            <w:vAlign w:val="center"/>
          </w:tcPr>
          <w:p>
            <w:pPr>
              <w:spacing w:line="264" w:lineRule="auto" w:before="60" w:after="60"/>
            </w:pPr>
            <w:r>
              <w:rPr>
                <w:sz w:val="22"/>
              </w:rPr>
              <w:t>+0.204 pp; uncertain, not equivalence</w:t>
            </w:r>
          </w:p>
        </w:tc>
        <w:tc>
          <w:tcPr>
            <w:tcW w:type="dxa" w:w="3051"/>
            <w:vAlign w:val="center"/>
          </w:tcPr>
          <w:p>
            <w:pPr>
              <w:spacing w:line="264" w:lineRule="auto" w:before="60" w:after="60"/>
            </w:pPr>
            <w:r>
              <w:rPr>
                <w:sz w:val="22"/>
              </w:rPr>
              <w:t>Historical complete-pipeline contrast</w:t>
            </w:r>
          </w:p>
        </w:tc>
      </w:tr>
      <w:tr>
        <w:trPr>
          <w:cantSplit/>
        </w:trPr>
        <w:tc>
          <w:tcPr>
            <w:tcW w:type="dxa" w:w="3286"/>
            <w:vAlign w:val="center"/>
          </w:tcPr>
          <w:p>
            <w:pPr>
              <w:spacing w:line="264" w:lineRule="auto" w:before="60" w:after="60"/>
            </w:pPr>
            <w:r>
              <w:rPr>
                <w:sz w:val="22"/>
              </w:rPr>
              <w:t>BNCI sensor-level physiology</w:t>
            </w:r>
          </w:p>
        </w:tc>
        <w:tc>
          <w:tcPr>
            <w:tcW w:type="dxa" w:w="3051"/>
            <w:vAlign w:val="center"/>
          </w:tcPr>
          <w:p>
            <w:pPr>
              <w:spacing w:line="264" w:lineRule="auto" w:before="60" w:after="60"/>
            </w:pPr>
            <w:r>
              <w:rPr>
                <w:sz w:val="22"/>
              </w:rPr>
              <w:t>Descriptive baseline-relative mu/beta power and association; n=9</w:t>
            </w:r>
          </w:p>
        </w:tc>
        <w:tc>
          <w:tcPr>
            <w:tcW w:type="dxa" w:w="3051"/>
            <w:vAlign w:val="center"/>
          </w:tcPr>
          <w:p>
            <w:pPr>
              <w:spacing w:line="264" w:lineRule="auto" w:before="60" w:after="60"/>
            </w:pPr>
            <w:r>
              <w:rPr>
                <w:sz w:val="22"/>
              </w:rPr>
              <w:t>Separate physiological description, no decoder-mechanism attribution</w:t>
            </w:r>
          </w:p>
        </w:tc>
      </w:tr>
    </w:tbl>
    <w:p/>
    <w:p>
      <w:r>
        <w:rPr/>
        <w:t xml:space="preserve">Pointers: </w:t>
      </w:r>
      <w:r>
        <w:rPr>
          <w:rFonts w:ascii="DejaVu Sans Mono" w:hAnsi="DejaVu Sans Mono"/>
          <w:sz w:val="20"/>
        </w:rPr>
        <w:t>../PAPER_FINAL_20261006/</w:t>
      </w:r>
      <w:r>
        <w:rPr/>
        <w:t xml:space="preserve">, </w:t>
      </w:r>
      <w:r>
        <w:rPr>
          <w:rFonts w:ascii="DejaVu Sans Mono" w:hAnsi="DejaVu Sans Mono"/>
          <w:sz w:val="20"/>
        </w:rPr>
        <w:t>../PLOS_ONE_SUBMISSION/</w:t>
      </w:r>
      <w:r>
        <w:rPr/>
        <w:t xml:space="preserve">, </w:t>
      </w:r>
      <w:r>
        <w:rPr>
          <w:rFonts w:ascii="DejaVu Sans Mono" w:hAnsi="DejaVu Sans Mono"/>
          <w:sz w:val="20"/>
        </w:rPr>
        <w:t>../PLOS_ONE_POSTSUBMISSION_REVIEW_20261010/</w:t>
      </w:r>
      <w:r>
        <w:rPr/>
        <w:t xml:space="preserve"> and </w:t>
      </w:r>
      <w:r>
        <w:rPr>
          <w:rFonts w:ascii="DejaVu Sans Mono" w:hAnsi="DejaVu Sans Mono"/>
          <w:sz w:val="20"/>
        </w:rPr>
        <w:t>../REDESIGN_SOURCE_SELECTION_20261012/</w:t>
      </w:r>
      <w:r>
        <w:rPr/>
        <w:t>. Q1–Q16 results, frozen numeric files, figures and audit contracts are preserved. The earlier physiological analysis used 10 log10(Ptask/Pbaseline), unequal baseline/task Welch segment counts and a different window from decoder input. Signed laterality is not absolute contralateral ERD, sensor topography is not cortical localization, and the descriptive association does not identify a learned decoder mechanism. It supplies no external physiological replication for the current experiment.</w:t>
      </w:r>
    </w:p>
    <w:p>
      <w:pPr>
        <w:pStyle w:val="Heading1"/>
      </w:pPr>
      <w:r>
        <w:rPr/>
        <w:t>8. Independent audit scope and archive identities</w:t>
      </w:r>
    </w:p>
    <w:p>
      <w:r>
        <w:rPr/>
        <w:t>The external arithmetic audit passed 1,179 checks with zero failures. It reconstructed metrics and inference from saved predictions, checked expected participant/trial/label identities and alias equality, and matched saved input-audit label hashes. The integrity/source-selection review checked nine off-Pod neural checkpoint archives (212,762,651 bytes in total), their payload hashes, the complete epoch inventory, 108 trajectory contracts, 23,520 validation rows, 1,680 aggregates and 48 choices. The largest aggregate numerical difference was 7.1054×10⁻¹⁵. The nine conventional model artifacts are in the original evidence package.</w:t>
      </w:r>
    </w:p>
    <w:p>
      <w:r>
        <w:rPr/>
        <w:t>The result importer independently checked the supplied audit files and their source identities against the archived result package; it did not rerun model inference or reread all nine large neural archives. This manuscript preparation likewise does not rerun EEG preprocessing, fitting or prediction. The checks provide byte identity, source-selection reconstruction and saved-statistic consistency, with no claim of independent raw-signal duplication screening or verification of every historical target access.</w:t>
      </w:r>
    </w:p>
    <w:p>
      <w:r>
        <w:rPr/>
        <w:t xml:space="preserve">The original public result ZIP is 21,240,637 bytes, SHA-256 </w:t>
      </w:r>
      <w:r>
        <w:rPr>
          <w:rFonts w:ascii="DejaVu Sans Mono" w:hAnsi="DejaVu Sans Mono"/>
          <w:sz w:val="20"/>
        </w:rPr>
        <w:t>df8fdc4a43139acb4236ead749b74736a5bedaea6d8606c3bcc69234755fe02f</w:t>
      </w:r>
      <w:r>
        <w:rPr/>
        <w:t xml:space="preserve">. It contains 57 members with per-member identities. The outer final evidence package is separately identified as 21,250,082 bytes, SHA-256 </w:t>
      </w:r>
      <w:r>
        <w:rPr>
          <w:rFonts w:ascii="DejaVu Sans Mono" w:hAnsi="DejaVu Sans Mono"/>
          <w:sz w:val="20"/>
        </w:rPr>
        <w:t>36b47206748b364eabc8f9a6d193d9e13fa54c0a96372b912cfca8179573df5e</w:t>
      </w:r>
      <w:r>
        <w:rPr/>
        <w:t>; these are different packages. The public result ZIP and immutable Git commit support inspection of the published numerical results. Large-model storage and durable R2 full-GET verification remain separate archive tasks in the release checklist, not completed DOI deposits.</w:t>
      </w:r>
    </w:p>
    <w:p>
      <w:pPr>
        <w:pStyle w:val="Heading1"/>
      </w:pPr>
      <w:r>
        <w:rPr/>
        <w:t>9. Data access, ethics and reuse</w:t>
      </w:r>
    </w:p>
    <w:p>
      <w:r>
        <w:rPr/>
        <w:t>The exact acquisition sources are the BNCI competition files, Yang Figshare+ v5 (DOI 10.25452/figshare.plus.22671172.v5), and the Dreyer NEMAR nm000250 v1.0.5 acquisition EDF representation. Original Dreyer data also have Zenodo DOI 10.5281/zenodo.8089820; different raw formats and conversions are not assumed to have identical bytes. The source publications and provider records are cited in the main reference list. The current v3 provenance documents preparation and execution on 18 October 2026. This observed activity date does not establish a participant recruitment date or the researcher's first-ever access date. Earlier dataset access and migrations remain in their own archived records.</w:t>
      </w:r>
    </w:p>
    <w:p>
      <w:r>
        <w:rPr/>
        <w:t>The author reports only secondary access to participant codes, age and basic metadata, with no direct identity-linkage key, new recruitment, intervention or contact. The author has no formal secondary-analysis ethics determination document and assesses that neither new approval nor exemption was required. This does not assert institutional exemption. Available original collection publications describe their own recruitment, approval and consent context; those statements do not supply an approval number for the present secondary study. The publication checklist preserves any need for journal or institutional clarification as an author action.</w:t>
      </w:r>
    </w:p>
    <w:p>
      <w:r>
        <w:rPr/>
        <w:t>Original manuscript material and author-owned derived outputs follow the previously authorized CC BY 4.0 terms; author-owned original software follows MIT. Provider EEG and third-party software retain their original terms. The accompanying data package contains derived result tables, not raw EEG. A repository commit is not a repository DOI, and a model checksum is not proof of durable public model availability.</w:t>
      </w:r>
    </w:p>
    <w:p>
      <w:pPr>
        <w:pStyle w:val="Heading1"/>
      </w:pPr>
      <w:r>
        <w:rPr/>
        <w:t>10. Reproducing the presentation without scientific reruns</w:t>
      </w:r>
    </w:p>
    <w:p>
      <w:r>
        <w:rPr/>
        <w:t xml:space="preserve">The package's </w:t>
      </w:r>
      <w:r>
        <w:rPr>
          <w:rFonts w:ascii="DejaVu Sans Mono" w:hAnsi="DejaVu Sans Mono"/>
          <w:sz w:val="20"/>
        </w:rPr>
        <w:t>scripts/build_figures.py</w:t>
      </w:r>
      <w:r>
        <w:rPr/>
        <w:t xml:space="preserve"> reads the frozen result archive and audit summaries; it writes plot sources and publication figures. </w:t>
      </w:r>
      <w:r>
        <w:rPr>
          <w:rFonts w:ascii="DejaVu Sans Mono" w:hAnsi="DejaVu Sans Mono"/>
          <w:sz w:val="20"/>
        </w:rPr>
        <w:t>scripts/export_manuscript.py</w:t>
      </w:r>
      <w:r>
        <w:rPr/>
        <w:t xml:space="preserve"> renders the authored Markdown into editable DOCX and review PDF artifacts. </w:t>
      </w:r>
      <w:r>
        <w:rPr>
          <w:rFonts w:ascii="DejaVu Sans Mono" w:hAnsi="DejaVu Sans Mono"/>
          <w:sz w:val="20"/>
        </w:rPr>
        <w:t>scripts/validate_delivery.py</w:t>
      </w:r>
      <w:r>
        <w:rPr/>
        <w:t xml:space="preserve"> checks numerical identities, citation coverage, figure metadata, output integrity and preservation of historical tracked content. None of these editorial commands starts a model fit or loads neural checkpoints. Commands and file identities appear in </w:t>
      </w:r>
      <w:r>
        <w:rPr>
          <w:rFonts w:ascii="DejaVu Sans Mono" w:hAnsi="DejaVu Sans Mono"/>
          <w:sz w:val="20"/>
        </w:rPr>
        <w:t>REPRODUCIBILITY.md</w:t>
      </w:r>
      <w:r>
        <w:rPr/>
        <w:t xml:space="preserve"> and the build/validation receipts.</w:t>
      </w:r>
    </w:p>
    <w:p>
      <w:r>
        <w:rPr/>
        <w:t>The AI-assistance disclosure in the main text and captions covers plotting-code and document-preparation assistance. Tool outputs are checked against archived numerical evidence; author approval of this new manuscript, tables, figures and portal-rendered PDF remains an author-level submission action.</w:t>
      </w:r>
    </w:p>
    <w:sectPr w:rsidR="00FC693F" w:rsidRPr="0006063C" w:rsidSect="00034616">
      <w:footerReference w:type="default" r:id="rId9"/>
      <w:pgSz w:w="11909" w:h="16834"/>
      <w:pgMar w:top="1224" w:right="1152" w:bottom="1224" w:left="1368" w:header="504" w:footer="504" w:gutter="0"/>
      <w:cols w:space="720"/>
      <w:docGrid w:linePitch="360"/>
      <w:lnNumType w:countBy="1" w:start="1" w:restart="continuous" w:distance="18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erif" w:hAnsi="Liberation Serif"/>
        <w:sz w:val="20"/>
      </w:rPr>
      <w:t xml:space="preserve">Page </w:t>
    </w:r>
    <w:r>
      <w:rPr>
        <w:rFonts w:ascii="Liberation Serif" w:hAnsi="Liberation Serif"/>
        <w:sz w:val="20"/>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after="0"/>
    </w:pPr>
    <w:rPr>
      <w:rFonts w:ascii="Liberation Serif" w:hAnsi="Liberation Serif"/>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auto"/>
      <w:outlineLvl w:val="0"/>
    </w:pPr>
    <w:rPr>
      <w:rFonts w:asciiTheme="majorHAnsi" w:eastAsiaTheme="majorEastAsia" w:hAnsiTheme="majorHAnsi" w:cstheme="majorBidi" w:ascii="Liberation Serif" w:hAnsi="Liberation Serif"/>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outlineLvl w:val="1"/>
    </w:pPr>
    <w:rPr>
      <w:rFonts w:asciiTheme="majorHAnsi" w:eastAsiaTheme="majorEastAsia" w:hAnsiTheme="majorHAnsi" w:cstheme="majorBidi" w:ascii="Liberation Serif" w:hAnsi="Liberation Serif"/>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outlineLvl w:val="2"/>
    </w:pPr>
    <w:rPr>
      <w:rFonts w:asciiTheme="majorHAnsi" w:eastAsiaTheme="majorEastAsia" w:hAnsiTheme="majorHAnsi" w:cstheme="majorBidi" w:ascii="Liberation Serif" w:hAnsi="Liberation Serif"/>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88" w:lineRule="auto" w:before="240"/>
      <w:contextualSpacing/>
    </w:pPr>
    <w:rPr>
      <w:rFonts w:asciiTheme="majorHAnsi" w:eastAsiaTheme="majorEastAsia" w:hAnsiTheme="majorHAnsi" w:cstheme="majorBidi" w:ascii="Liberation Serif" w:hAnsi="Liberation Serif"/>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after="0"/>
      <w:contextualSpacing/>
    </w:pPr>
    <w:rPr>
      <w:rFonts w:ascii="Liberation Serif" w:hAnsi="Liberation Serif"/>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480" w:lineRule="auto" w:after="0"/>
      <w:contextualSpacing/>
    </w:pPr>
    <w:rPr>
      <w:rFonts w:ascii="Liberation Serif" w:hAnsi="Liberation Serif"/>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S1 Appendix. Source expansion, class coverage and reproducibility</dc:title>
  <dc:subject>PLOS ONE manuscript materials</dc:subject>
  <dc:creator>Ziyuan Zhu</dc:creator>
  <cp:keywords>motor imagery; EEG; source-only selection; source-cohort expansion</cp:keywords>
  <dc:description>generated by python-docx</dc:description>
  <cp:lastModifiedBy/>
  <cp:revision>1</cp:revision>
  <dcterms:created xsi:type="dcterms:W3CDTF">2026-10-18T05:18:49Z</dcterms:created>
  <dcterms:modified xsi:type="dcterms:W3CDTF">2026-10-18T05:18:49Z</dcterms:modified>
  <cp:category/>
</cp:coreProperties>
</file>