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Post-submission candidate: change review</w:t>
      </w:r>
    </w:p>
    <w:p>
      <w:r>
        <w:t>PONE-D-26-50597; internal candidate only. Red strike-through marks removed text; green underline marks added text. Primary frozen outputs are unchanged. This is a review aid, not a revised submission.</w:t>
      </w:r>
    </w:p>
    <w:p>
      <w:r>
        <w:rPr>
          <w:strike/>
          <w:color w:val="960000"/>
          <w:sz w:val="20"/>
        </w:rPr>
        <w:t># Source-only model selection and limits of fixed spectral-sharing pipelines in cross-subject motor-imagery EEG decoding</w:t>
      </w:r>
    </w:p>
    <w:p>
      <w:r>
        <w:rPr>
          <w:color w:val="006432"/>
          <w:sz w:val="20"/>
          <w:u w:val="single"/>
        </w:rPr>
        <w:t># Source-only model selection and external evaluation of complete spectral-sharing pipelines in motor-imagery EEG decoding</w:t>
      </w:r>
    </w:p>
    <w:p>
      <w:r>
        <w:rPr>
          <w:color w:val="006432"/>
          <w:sz w:val="20"/>
          <w:u w:val="single"/>
        </w:rPr>
        <w:t>Corresponding author: zzy2630816871@gmail.com</w:t>
      </w:r>
    </w:p>
    <w:p>
      <w:r>
        <w:rPr>
          <w:color w:val="006432"/>
          <w:sz w:val="20"/>
          <w:u w:val="single"/>
        </w:rPr>
        <w:t>Postal address: Jinyun Campus, Chongqing Medical University, No. 61, Daxuecheng Middle Road, Shapingba District, Chongqing 401331, China</w:t>
      </w:r>
    </w:p>
    <w:p>
      <w:r>
        <w:rPr>
          <w:strike/>
          <w:color w:val="960000"/>
          <w:sz w:val="20"/>
        </w:rPr>
        <w:t>We audited source-only training-duration selection and evaluated fixed shared mu/beta input pipelines for cross-subject motor-imagery EEG decoding. An exploratory four-class study used nine BNCI2014_001 participants, excluding both target sessions from each corresponding model fit and duration selection. Separate frozen binary pipelines were evaluated on PhysioNet (109 people), Cho2017 (52) and Lee2019 offline-training runs (54, two sessions), without target fitting or adaptation. We re-audited saved predictions and source partitions. A BNCI signal analysis, specified after decoder outcomes were known, described baseline-relative mu/beta power and associations with saved binary LOSO balanced accuracy. Mean-rank duration selection increased internal balanced accuracy from 33.72% to 42.67% compared with mean-loss selection; S3 and S8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The BNCI signal analysis retained all 5,184 trials; its 2,592 hand-imagery trials gave mean signed laterality of −0.250 dB in mu and −0.168 dB in beta, with signs varying between people. Training-duration choices yielded large but concentrated gains in this development benchmark. Shared-input pipelines showed no consistent external advantage. BNCI sensor patterns provide descriptive context; nine-person associations do not establish a decoder mechanism. Unknown voltage calibration and offline evaluation limit deployment conclusions.</w:t>
      </w:r>
    </w:p>
    <w:p>
      <w:r>
        <w:rPr>
          <w:color w:val="006432"/>
          <w:sz w:val="20"/>
          <w:u w:val="single"/>
        </w:rPr>
        <w:t>We examined the reliability of source-only training-duration selection and the external performance of complete fixed spectral-sharing pipelines for motor-imagery EEG decoding. An exploratory development study used nine BNCI2014_001 participants, excluding both sessions of each held-out person from fitting and duration selection. Separate frozen binary pipelines were evaluated on PhysioNet, Cho2017 and Lee2019 without target fitting or adaptation. A post-outcome BNCI sensor analysis described baseline-relative mu/beta power without decoder feedback. Mean-rank selection increased development balanced accuracy from 33.72% to 42.67%; S3 and S8 contributed 87.57% of the aggregate gain. A matched-runtime fixed-duration control improved four of nine people despite a positive mean. Shared-minus-broad external differences were +0.573 percentage points on PhysioNet (95% person-bootstrap interval [−0.097,1.242]), −1.513 on Cho2017 [−2.249,−0.804] and +0.204 on Lee2019 [−0.515,0.969]. These contrasts combine unequal source-selected durations with different input views and computation; they do not isolate spectral sharing. Archived CSP outputs showed strong left-prediction dominance on both later cohorts. The BNCI analysis found negative mean signed hand laterality with participant variation; its nine-person associations do not establish a decoder mechanism. Duration choices yielded large but concentrated development gains. The frozen shared-input pipelines showed no consistent external advantage, and uncertain contrasts establish neither superiority nor equivalence. Acquisition uncertainty and offline evaluation limit deployment conclusions.</w:t>
      </w:r>
    </w:p>
    <w:p>
      <w:r>
        <w:rPr>
          <w:strike/>
          <w:color w:val="960000"/>
          <w:sz w:val="20"/>
        </w:rPr>
        <w:t>We address three questions. First, can heterogeneous source-validation loss curves lead to very short training schedules, and does within-fold rank aggregation change those schedules? Second, how does a pipeline that processes predefined mu/beta views with one shared EEGNet compare with broad input, alongside spatial, capacity, and robustness controls? Third, how do the complete source-selected pipelines perform in external binary transfer? A separate descriptive analysis characterizes measured BNCI sensor signals without changing the decoders. The external evidence comprises an earlier PhysioNet evaluation [5,6] and a subsequently frozen, separately fitted pipeline for Cho2017 [7,8] and Lee2019 [9,10]. The evaluations use different channel sets and time windows and are reported separately.</w:t>
      </w:r>
    </w:p>
    <w:p>
      <w:r>
        <w:rPr>
          <w:color w:val="006432"/>
          <w:sz w:val="20"/>
          <w:u w:val="single"/>
        </w:rPr>
        <w:t>The study has two scientific aims. The first is to audit source-only duration selection: how heterogeneous validation-loss curves influence the chosen schedule, and whether an aggregate gain reflects benefit for most participants. The second is to assess complete frozen spectral-sharing pipelines in external binary transfer, retaining adverse and uncertain results alongside developmental spectral, spatial, capacity and robustness controls. The external evidence comprises an earlier PhysioNet evaluation [5,6] and separately fitted, subsequently frozen pipelines for Cho2017 [7,8] and Lee2019 [9,10]. Their montage and time-window differences require separate reporting. A downstream BNCI sensor characterization is auxiliary and receives no role in decoder fitting or selection.</w:t>
      </w:r>
    </w:p>
    <w:p>
      <w:r>
        <w:rPr>
          <w:strike/>
          <w:color w:val="960000"/>
          <w:sz w:val="20"/>
        </w:rPr>
        <w:t>Here, we audit source-only model selection as part of cross-subject decoder evaluation [11]. The development analyses trace how training-duration decisions affect apparent model failure and distinguish concentrated aggregate gains from participant-level benefit. Separate frozen external evaluations retain adverse and uncertain outcomes, with participants as the unit of inference. A downstream BNCI sensor analysis adds measured-signal context while keeping physiological description separate from decoder attribution.</w:t>
      </w:r>
    </w:p>
    <w:p>
      <w:r>
        <w:rPr>
          <w:color w:val="006432"/>
          <w:sz w:val="20"/>
          <w:u w:val="single"/>
        </w:rPr>
        <w:t>The methodological contribution is an audit of selection reliability and participant-level heterogeneity, rather than a claim that rank aggregation is a new or generally superior algorithm [11]. The empirical contribution is a frozen external evaluation of complete selected pipelines, including a corrected adverse result and uncertain estimates. Saved predictions, contracts and checksums make these claims inspectable; that evidence chain is a transparency contribution, not a new decoding method. The physiological characterization supplies descriptive sensor context rather than mechanistic validation.</w:t>
      </w:r>
    </w:p>
    <w:p>
      <w:r>
        <w:rPr>
          <w:color w:val="006432"/>
          <w:sz w:val="20"/>
          <w:u w:val="single"/>
        </w:rPr>
        <w:t>Multibranch designs are relevant architectural precedents, but they do not define the same evaluation. Roots et al. combine three separately parameterized EEGNet-style branches [23]; their published protocol randomly splits pooled half-second windows, rather than documenting an unseen-person external test. Luo et al. use independently learned branches for overlapping frequency bands [24], primarily in within-dataset multisubject/session evaluation. Neither design is equivalent to fixed mu/beta inputs passed through one shared backbone.</w:t>
      </w:r>
    </w:p>
    <w:p>
      <w:r>
        <w:rPr>
          <w:color w:val="006432"/>
          <w:sz w:val="20"/>
          <w:u w:val="single"/>
        </w:rPr>
        <w:t>Training stability and transfer are also studied outside this information contract. Smedemark-Margulies et al. examine divergence regularization in subject-disjoint rapid-serial-visual-presentation EEG [25]; this is not a motor-imagery benchmark or a direct test of the present duration-selection rules. Zhang et al. describe target-subject fine-tuning of pretrained convolutional networks [26]. The motor-imagery task of the BEETL competition provides labelled target calibration [27], unlike the present frozen no-target-fitting transfer.</w:t>
      </w:r>
    </w:p>
    <w:p>
      <w:r>
        <w:rPr>
          <w:color w:val="006432"/>
          <w:sz w:val="20"/>
          <w:u w:val="single"/>
        </w:rPr>
        <w:t>Recent PLOS ONE models illustrate further protocol differences. SMMTM uses learned multiscale temporal branches and reports within-dataset leave-one-subject-out evaluation [28]. Its validation-selection details do not establish a matching frozen external budget. RMETNet incorporates source–target distribution matching and Riemannian alignment [29], so it cannot serve as a source-only comparator without separating those operations. The protocol audit in S1 Appendix explains these distinctions without inferring unreported leakage or ranking headline scores.</w:t>
      </w:r>
    </w:p>
    <w:p>
      <w:r>
        <w:rPr>
          <w:color w:val="006432"/>
          <w:sz w:val="20"/>
          <w:u w:val="single"/>
        </w:rPr>
        <w:t>Sonntag et al. relate resting spectral features to participant-specific unilateral upper-limb motor-imagery classifiers in a 26-person study [30]. Their task, resting-power estimator and within-person evaluation differ from the present nine-person post-outcome, baseline-relative sensor descriptors. That literature motivates physiological description; it does not independently validate the present associations or identify a learned decoder mechanism.</w:t>
      </w:r>
    </w:p>
    <w:p>
      <w:r>
        <w:rPr>
          <w:strike/>
          <w:color w:val="960000"/>
          <w:sz w:val="20"/>
        </w:rPr>
        <w:t>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(Q14) applies separately fitted binary BNCI models to PhysioNet; a metadata-driven sampling-rate amendment followed partial target execution. The frozen Cho2017/Lee2019 transfer experiment (Q15)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t>
      </w:r>
    </w:p>
    <w:p>
      <w:r>
        <w:rPr>
          <w:color w:val="006432"/>
          <w:sz w:val="20"/>
          <w:u w:val="single"/>
        </w:rPr>
        <w:t>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applies separately fitted binary BNCI models to PhysioNet; a metadata-driven sampling-rate amendment followed partial target execution. The frozen Cho2017/Lee2019 transfer experiment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t>
      </w:r>
    </w:p>
    <w:p>
      <w:r>
        <w:rPr>
          <w:strike/>
          <w:color w:val="960000"/>
          <w:sz w:val="20"/>
        </w:rPr>
        <w:t>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(Q16) was defined after decoder results were known and uses BNCI signals only. Its raw-signal summaries and associations provide no feedback into the decoders and cannot establish their physiological mechanism.</w:t>
      </w:r>
    </w:p>
    <w:p>
      <w:r>
        <w:rPr>
          <w:color w:val="006432"/>
          <w:sz w:val="20"/>
          <w:u w:val="single"/>
        </w:rPr>
        <w:t>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was defined after decoder results were known and uses BNCI signals only. Its raw-signal summaries and associations provide no feedback into the decoders and cannot establish their physiological mechanism.</w:t>
      </w:r>
    </w:p>
    <w:p>
      <w:r>
        <w:rPr>
          <w:strike/>
          <w:color w:val="960000"/>
          <w:sz w:val="20"/>
        </w:rPr>
        <w:t>The corresponding saved summary is presented in Fig 1.</w:t>
      </w:r>
    </w:p>
    <w:p>
      <w:r>
        <w:rPr>
          <w:color w:val="006432"/>
          <w:sz w:val="20"/>
          <w:u w:val="single"/>
        </w:rPr>
        <w:t>Fig 1 summarizes the study sequence and source–target information boundaries.</w:t>
      </w:r>
    </w:p>
    <w:p>
      <w:r>
        <w:rPr>
          <w:strike/>
          <w:color w:val="960000"/>
          <w:sz w:val="20"/>
        </w:rPr>
        <w:t>Fig 1. Study workflow and source–target information boundaries. Study workflow and information boundaries. Both sessions of each internal target person are excluded from the corresponding source fit; these development analyses remain exploratory. Q14 and Q15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Q14's post-partial-run amendment and the external differences in selected duration are described in the Methods and comparison-fairness table.</w:t>
      </w:r>
    </w:p>
    <w:p>
      <w:r>
        <w:rPr>
          <w:color w:val="006432"/>
          <w:sz w:val="20"/>
          <w:u w:val="single"/>
        </w:rPr>
        <w:t>Fig 1. Study workflow and information boundaries. Both sessions of each internal target person are excluded from the corresponding source fit; these development analyses remain exploratory. The PhysioNet and Cho2017/Lee2019 evaluations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The earlier PhysioNet evaluation's post-partial-run amendment and the external differences in selected duration are described in the Methods and comparison-fairness table.</w:t>
      </w:r>
    </w:p>
    <w:p>
      <w:r>
        <w:rPr>
          <w:strike/>
          <w:color w:val="960000"/>
          <w:sz w:val="20"/>
        </w:rPr>
        <w:t>The corresponding saved summary is presented in Table 1.</w:t>
      </w:r>
    </w:p>
    <w:p>
      <w:r>
        <w:rPr>
          <w:color w:val="006432"/>
          <w:sz w:val="20"/>
          <w:u w:val="single"/>
        </w:rPr>
        <w:t>Table 1 distinguishes source and external scoring populations.</w:t>
      </w:r>
    </w:p>
    <w:p>
      <w:r>
        <w:rPr>
          <w:strike/>
          <w:color w:val="960000"/>
          <w:sz w:val="20"/>
        </w:rPr>
        <w:t>| Q14 binary BNCI source | 9 | 2 | 2,592 | 22 × 480 at 160 Hz |</w:t>
      </w:r>
    </w:p>
    <w:p>
      <w:r>
        <w:rPr>
          <w:color w:val="006432"/>
          <w:sz w:val="20"/>
          <w:u w:val="single"/>
        </w:rPr>
        <w:t>| PhysioNet-stage binary BNCI source | 9 | 2 | 2,592 | 22 × 480 at 160 Hz |</w:t>
      </w:r>
    </w:p>
    <w:p>
      <w:r>
        <w:rPr>
          <w:strike/>
          <w:color w:val="960000"/>
          <w:sz w:val="20"/>
        </w:rPr>
        <w:t>| Q14 external PhysioNet | 109 | 2 | 4,918 | 22 × 480 at 160 Hz |</w:t>
      </w:r>
    </w:p>
    <w:p>
      <w:r>
        <w:rPr>
          <w:color w:val="006432"/>
          <w:sz w:val="20"/>
          <w:u w:val="single"/>
        </w:rPr>
        <w:t>| External PhysioNet | 109 | 2 | 4,918 | 22 × 480 at 160 Hz |</w:t>
      </w:r>
    </w:p>
    <w:p>
      <w:r>
        <w:rPr>
          <w:strike/>
          <w:color w:val="960000"/>
          <w:sz w:val="20"/>
        </w:rPr>
        <w:t>| Q15 binary BNCI source | 9 | 2 | 2,592 | 21 × 320 at 160 Hz |</w:t>
      </w:r>
    </w:p>
    <w:p>
      <w:r>
        <w:rPr>
          <w:color w:val="006432"/>
          <w:sz w:val="20"/>
          <w:u w:val="single"/>
        </w:rPr>
        <w:t>| Cho/Lee-stage binary BNCI source | 9 | 2 | 2,592 | 21 × 320 at 160 Hz |</w:t>
      </w:r>
    </w:p>
    <w:p>
      <w:r>
        <w:rPr>
          <w:strike/>
          <w:color w:val="960000"/>
          <w:sz w:val="20"/>
        </w:rPr>
        <w:t>| Q15 external Cho2017 | 52 | 2 | 10,520 | 21 × 320 at 160 Hz |</w:t>
      </w:r>
    </w:p>
    <w:p>
      <w:r>
        <w:rPr>
          <w:color w:val="006432"/>
          <w:sz w:val="20"/>
          <w:u w:val="single"/>
        </w:rPr>
        <w:t>| External Cho2017 | 52 | 2 | 10,520 | 21 × 320 at 160 Hz |</w:t>
      </w:r>
    </w:p>
    <w:p>
      <w:r>
        <w:rPr>
          <w:strike/>
          <w:color w:val="960000"/>
          <w:sz w:val="20"/>
        </w:rPr>
        <w:t>| Q15 external Lee2019 | 54 | 2 | 10,800 | 21 × 320 at 160 Hz |</w:t>
      </w:r>
    </w:p>
    <w:p>
      <w:r>
        <w:rPr>
          <w:color w:val="006432"/>
          <w:sz w:val="20"/>
          <w:u w:val="single"/>
        </w:rPr>
        <w:t>| External Lee2019 | 54 | 2 | 10,800 | 21 × 320 at 160 Hz |</w:t>
      </w:r>
    </w:p>
    <w:p>
      <w:r>
        <w:rPr>
          <w:strike/>
          <w:color w:val="960000"/>
          <w:sz w:val="20"/>
        </w:rPr>
        <w:t>Both sessions of each BNCI outer target are held out. Q14 and Q15 have separate binary source fits and preprocessing contracts, and neural inputs contain EEG channels only. Prediction rows repeat trials across models and seeds; they are not independent participants. Lee sessions are pooled within person for the primary endpoint.</w:t>
      </w:r>
    </w:p>
    <w:p>
      <w:r>
        <w:rPr>
          <w:color w:val="006432"/>
          <w:sz w:val="20"/>
          <w:u w:val="single"/>
        </w:rPr>
        <w:t>Both sessions of each BNCI outer target are held out. The PhysioNet and Cho2017/Lee2019 evaluations have separate binary source fits and preprocessing contracts, and neural inputs contain EEG channels only. Prediction rows repeat trials across models and seeds; they are not independent participants. Lee sessions are pooled within person for the primary endpoint.</w:t>
      </w:r>
    </w:p>
    <w:p>
      <w:r>
        <w:rPr>
          <w:strike/>
          <w:color w:val="960000"/>
          <w:sz w:val="20"/>
        </w:rPr>
        <w:t>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Q15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t>
      </w:r>
    </w:p>
    <w:p>
      <w:r>
        <w:rPr>
          <w:color w:val="006432"/>
          <w:sz w:val="20"/>
          <w:u w:val="single"/>
        </w:rPr>
        <w:t>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Cho/Lee fixed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t>
      </w:r>
    </w:p>
    <w:p>
      <w:r>
        <w:rPr>
          <w:strike/>
          <w:color w:val="960000"/>
          <w:sz w:val="20"/>
        </w:rPr>
        <w:t>The absence of target fitting does not establish physical acquisition calibration. Q15’s native-numeric-as-microvolt convention does not verify the exported voltage units. Earlier within-person and cross-session P2 models use target-person labelled calibration and remain outside the strict zero-calibration endpoints. The source-fitted P4 EOG regression requires synchronous target EOG and thus additional sensors, although it fits no target coefficients.</w:t>
      </w:r>
    </w:p>
    <w:p>
      <w:r>
        <w:rPr>
          <w:color w:val="006432"/>
          <w:sz w:val="20"/>
          <w:u w:val="single"/>
        </w:rPr>
        <w:t>The absence of target fitting does not establish physical acquisition calibration. The Cho2017/Lee2019 evaluation’s native-numeric-as-microvolt convention does not verify the exported voltage units. Earlier within-person and cross-session calibrated models use target-person labelled calibration and remain outside the strict zero-calibration endpoints. The source-fitted EOG regression requires synchronous target EOG and thus additional sensors, although it fits no target coefficients.</w:t>
      </w:r>
    </w:p>
    <w:p>
      <w:r>
        <w:rPr>
          <w:strike/>
          <w:color w:val="960000"/>
          <w:sz w:val="20"/>
        </w:rPr>
        <w:t>The corresponding saved summary is presented in Table 2.</w:t>
      </w:r>
    </w:p>
    <w:p>
      <w:r>
        <w:rPr>
          <w:color w:val="006432"/>
          <w:sz w:val="20"/>
          <w:u w:val="single"/>
        </w:rPr>
        <w:t>Table 2 specifies the target-information budget.</w:t>
      </w:r>
    </w:p>
    <w:p>
      <w:r>
        <w:rPr>
          <w:strike/>
          <w:color w:val="960000"/>
          <w:sz w:val="20"/>
        </w:rPr>
        <w:t>| Filtering, resampling, crop and Q15 CAR | Target EEG, fixed native metadata | None | Deterministic offline operations |</w:t>
      </w:r>
    </w:p>
    <w:p>
      <w:r>
        <w:rPr>
          <w:color w:val="006432"/>
          <w:sz w:val="20"/>
          <w:u w:val="single"/>
        </w:rPr>
        <w:t>| Filtering, resampling, crop and Cho/Lee common-average reference | Target EEG, fixed native metadata | None | Deterministic offline operations |</w:t>
      </w:r>
    </w:p>
    <w:p>
      <w:r>
        <w:rPr>
          <w:strike/>
          <w:color w:val="960000"/>
          <w:sz w:val="20"/>
        </w:rPr>
        <w:t>| Q15 Helmert coordinates | Channel count and signal | None | Analytical CAR-subspace basis |</w:t>
      </w:r>
    </w:p>
    <w:p>
      <w:r>
        <w:rPr>
          <w:color w:val="006432"/>
          <w:sz w:val="20"/>
          <w:u w:val="single"/>
        </w:rPr>
        <w:t>| Cho/Lee fixed Helmert coordinates | Channel count and signal | None | Analytical CAR-subspace basis |</w:t>
      </w:r>
    </w:p>
    <w:p>
      <w:r>
        <w:rPr>
          <w:strike/>
          <w:color w:val="960000"/>
          <w:sz w:val="20"/>
        </w:rPr>
        <w:t>| Scoring and separate Q16 characterization | Predictions/raw signals and canonical labels | None | Downstream analyses with no decoder feedback |</w:t>
      </w:r>
    </w:p>
    <w:p>
      <w:r>
        <w:rPr>
          <w:color w:val="006432"/>
          <w:sz w:val="20"/>
          <w:u w:val="single"/>
        </w:rPr>
        <w:t>| Scoring and separate BNCI physiology characterization | Predictions/raw signals and canonical labels | None | Downstream analyses with no decoder feedback |</w:t>
      </w:r>
    </w:p>
    <w:p>
      <w:r>
        <w:rPr>
          <w:strike/>
          <w:color w:val="960000"/>
          <w:sz w:val="20"/>
        </w:rPr>
        <w:t>| P2 within-person or cross-session models | Target-person labeled training trials | Yes | Calibrated context; separate endpoint |</w:t>
      </w:r>
    </w:p>
    <w:p>
      <w:r>
        <w:rPr>
          <w:color w:val="006432"/>
          <w:sz w:val="20"/>
          <w:u w:val="single"/>
        </w:rPr>
        <w:t>| Within-person or cross-session calibrated models | Target-person labeled training trials | Yes | Calibrated context; separate endpoint |</w:t>
      </w:r>
    </w:p>
    <w:p>
      <w:r>
        <w:rPr>
          <w:strike/>
          <w:color w:val="960000"/>
          <w:sz w:val="20"/>
        </w:rPr>
        <w:t>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w:t>
      </w:r>
    </w:p>
    <w:p>
      <w:r>
        <w:rPr>
          <w:color w:val="006432"/>
          <w:sz w:val="20"/>
          <w:u w:val="single"/>
        </w:rPr>
        <w:t>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 Equation (1) states the selected-epoch rule.</w:t>
      </w:r>
    </w:p>
    <w:p>
      <w:r>
        <w:rPr>
          <w:strike/>
          <w:color w:val="960000"/>
          <w:sz w:val="20"/>
        </w:rPr>
        <w:t>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w:t>
      </w:r>
    </w:p>
    <w:p>
      <w:r>
        <w:rPr>
          <w:color w:val="006432"/>
          <w:sz w:val="20"/>
          <w:u w:val="single"/>
        </w:rPr>
        <w:t>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 Twenty epochs was a fixed development follow-up budget, not a prospectively established optimum or a recommendation for external deployment.</w:t>
      </w:r>
    </w:p>
    <w:p>
      <w:r>
        <w:rPr>
          <w:strike/>
          <w:color w:val="960000"/>
          <w:sz w:val="20"/>
        </w:rPr>
        <w:t>The population raw-versus-source-normalized Q5/Q6 comparison also changes the selected duration for S3 from 2 to 16 epochs and S5 from 13 to 12. Its aggregate difference therefore cannot be attributed solely to normalization. The fixed-duration Q7 four-cell diagnostic separates normalization and duration more directly, but only for S3.</w:t>
      </w:r>
    </w:p>
    <w:p>
      <w:r>
        <w:rPr>
          <w:color w:val="006432"/>
          <w:sz w:val="20"/>
          <w:u w:val="single"/>
        </w:rPr>
        <w:t>The population raw-versus-source-normalized comparison also changes the selected duration for S3 from 2 to 16 epochs and S5 from 13 to 12. Its aggregate difference therefore cannot be attributed solely to normalization. The fixed-duration four-cell diagnostic separates normalization and duration more directly, but only for S3.</w:t>
      </w:r>
    </w:p>
    <w:p>
      <w:r>
        <w:rPr>
          <w:strike/>
          <w:color w:val="960000"/>
          <w:sz w:val="20"/>
        </w:rPr>
        <w:t>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w:t>
      </w:r>
    </w:p>
    <w:p>
      <w:r>
        <w:rPr>
          <w:color w:val="006432"/>
          <w:sz w:val="20"/>
          <w:u w:val="single"/>
        </w:rPr>
        <w:t>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 Equation (2) defines the shared-view prediction.</w:t>
      </w:r>
    </w:p>
    <w:p>
      <w:r>
        <w:rPr>
          <w:strike/>
          <w:color w:val="960000"/>
          <w:sz w:val="20"/>
        </w:rPr>
        <w:t>The corresponding saved summary is presented in Table 3.</w:t>
      </w:r>
    </w:p>
    <w:p>
      <w:r>
        <w:rPr>
          <w:color w:val="006432"/>
          <w:sz w:val="20"/>
          <w:u w:val="single"/>
        </w:rPr>
        <w:t>### Source-only Robustness Interventions</w:t>
      </w:r>
    </w:p>
    <w:p>
      <w:r>
        <w:rPr>
          <w:color w:val="006432"/>
          <w:sz w:val="20"/>
          <w:u w:val="single"/>
        </w:rPr>
        <w:t>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[31].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t>
      </w:r>
    </w:p>
    <w:p>
      <w:r>
        <w:rPr>
          <w:color w:val="006432"/>
          <w:sz w:val="20"/>
          <w:u w:val="single"/>
        </w:rPr>
        <w:t>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t>
      </w:r>
    </w:p>
    <w:p>
      <w:r>
        <w:rPr>
          <w:color w:val="006432"/>
          <w:sz w:val="20"/>
          <w:u w:val="single"/>
        </w:rPr>
        <w:t>### Earlier Binary Source Freeze and PhysioNet Evaluation</w:t>
      </w:r>
    </w:p>
    <w:p>
      <w:r>
        <w:rPr>
          <w:color w:val="006432"/>
          <w:sz w:val="20"/>
          <w:u w:val="single"/>
        </w:rP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t>
      </w:r>
    </w:p>
    <w:p>
      <w:r>
        <w:rPr>
          <w:color w:val="006432"/>
          <w:sz w:val="20"/>
          <w:u w:val="single"/>
        </w:rPr>
        <w:t>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t>
      </w:r>
    </w:p>
    <w:p>
      <w:r>
        <w:rPr>
          <w:color w:val="006432"/>
          <w:sz w:val="20"/>
          <w:u w:val="single"/>
        </w:rPr>
        <w:t>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t>
      </w:r>
    </w:p>
    <w:p>
      <w:r>
        <w:rPr>
          <w:color w:val="006432"/>
          <w:sz w:val="20"/>
          <w:u w:val="single"/>
        </w:rPr>
        <w:t>### Frozen Cho2017/Lee2019 Transfer</w:t>
      </w:r>
    </w:p>
    <w:p>
      <w:r>
        <w:rPr>
          <w:color w:val="006432"/>
          <w:sz w:val="20"/>
          <w:u w:val="single"/>
        </w:rPr>
        <w:t>The frozen Cho2017/Lee2019 study is a separate binary transfer experiment using different checkpoints from the earlier PhysioNet evaluation.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the earlier PhysioNet evaluation as an effect of external provider alone.</w:t>
      </w:r>
    </w:p>
    <w:p>
      <w:r>
        <w:rPr>
          <w:color w:val="006432"/>
          <w:sz w:val="20"/>
          <w:u w:val="single"/>
        </w:rPr>
        <w:t>The Cho2017/Lee2019 transfer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t>
      </w:r>
    </w:p>
    <w:p>
      <w:r>
        <w:rPr>
          <w:color w:val="006432"/>
          <w:sz w:val="20"/>
          <w:u w:val="single"/>
        </w:rPr>
        <w:t>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21-channel, 320-sample transfer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 The broad model processes one view and the shared model two views; normalization exposure and computation also differ. These differences accompany the unequal durations in the complete-pipeline contrast.</w:t>
      </w:r>
    </w:p>
    <w:p>
      <w:r>
        <w:rPr>
          <w:color w:val="006432"/>
          <w:sz w:val="20"/>
          <w:u w:val="single"/>
        </w:rPr>
        <w:t>Table 3 records matched aspects and remaining differences.</w:t>
      </w:r>
    </w:p>
    <w:p>
      <w:r>
        <w:rPr>
          <w:strike/>
          <w:color w:val="960000"/>
          <w:sz w:val="20"/>
        </w:rPr>
        <w:t>| Q5 mean-loss vs Q8 mean-rank | Nine-person all-trial LOSO, 22×750, 4–40 Hz, original 36 inner trajectories, final seeds | Schedule changes; candidate arose after BNCI outcomes; exploratory |</w:t>
      </w:r>
    </w:p>
    <w:p>
      <w:r>
        <w:rPr>
          <w:color w:val="006432"/>
          <w:sz w:val="20"/>
          <w:u w:val="single"/>
        </w:rPr>
        <w:t>| Mean-loss versus mean-rank duration selection | Nine-person all-trial LOSO, 22×750, 4–40 Hz, original 36 inner trajectories, final seeds | Schedule changes; candidate arose after BNCI outcomes; exploratory |</w:t>
      </w:r>
    </w:p>
    <w:p>
      <w:r>
        <w:rPr>
          <w:strike/>
          <w:color w:val="960000"/>
          <w:sz w:val="20"/>
        </w:rPr>
        <w:t>| Q5 raw vs Q6 source normalization | Same all-trial targets and EEGNet family; source-only scaler fit | Selected epochs also change: S3 2→16, S5 13→12; not normalization alone |</w:t>
      </w:r>
    </w:p>
    <w:p>
      <w:r>
        <w:rPr>
          <w:color w:val="006432"/>
          <w:sz w:val="20"/>
          <w:u w:val="single"/>
        </w:rPr>
        <w:t>| Raw versus source-normalized input | Same all-trial targets and EEGNet family; source-only scaler fit | Selected epochs also change: S3 2→16, S5 13→12; not normalization alone |</w:t>
      </w:r>
    </w:p>
    <w:p>
      <w:r>
        <w:rPr>
          <w:strike/>
          <w:color w:val="960000"/>
          <w:sz w:val="20"/>
        </w:rPr>
        <w:t>| Q7 S3 raw/normalized ×2/16 epochs | Epochs fixed within each raw/normalized pair | One-person diagnostic |</w:t>
      </w:r>
    </w:p>
    <w:p>
      <w:r>
        <w:rPr>
          <w:color w:val="006432"/>
          <w:sz w:val="20"/>
          <w:u w:val="single"/>
        </w:rPr>
        <w:t>| S3 raw/normalized ×2/16 epochs | Epochs fixed within each raw/normalized pair | One-person diagnostic |</w:t>
      </w:r>
    </w:p>
    <w:p>
      <w:r>
        <w:rPr>
          <w:strike/>
          <w:color w:val="960000"/>
          <w:sz w:val="20"/>
        </w:rPr>
        <w:t>| Q9 broad vs shared, reselected durations | Same targets, dimensions, EEGNet parameter count, optimizer/seeds | Bands, two-view computation, BatchNorm exposure and schedules differ |</w:t>
      </w:r>
    </w:p>
    <w:p>
      <w:r>
        <w:rPr>
          <w:color w:val="006432"/>
          <w:sz w:val="20"/>
          <w:u w:val="single"/>
        </w:rPr>
        <w:t>| Broad versus shared, reselected durations | Same targets, dimensions, EEGNet parameter count, optimizer/seeds | Bands, two-view computation, BatchNorm exposure and schedules differ |</w:t>
      </w:r>
    </w:p>
    <w:p>
      <w:r>
        <w:rPr>
          <w:strike/>
          <w:color w:val="960000"/>
          <w:sz w:val="20"/>
        </w:rPr>
        <w:t>| Q9-E002 fixed-schedule broad/shared | Same targets and frozen Q8 per-target epochs | Duration-controlled sensitivity; views/computation still differ |</w:t>
      </w:r>
    </w:p>
    <w:p>
      <w:r>
        <w:rPr>
          <w:color w:val="006432"/>
          <w:sz w:val="20"/>
          <w:u w:val="single"/>
        </w:rPr>
        <w:t>| Broad/shared, fixed per-target schedule | Same targets and frozen mean-rank per-target epochs | Duration-controlled sensitivity; views/computation still differ |</w:t>
      </w:r>
    </w:p>
    <w:p>
      <w:r>
        <w:rPr>
          <w:strike/>
          <w:color w:val="960000"/>
          <w:sz w:val="20"/>
        </w:rPr>
        <w:t>| Q10 CSP vs PCA neural projections | Eight source-fitted components per band; 16 projected channels and source scaling | Matched to each other, not to 22-channel shared-logit input |</w:t>
      </w:r>
    </w:p>
    <w:p>
      <w:r>
        <w:rPr>
          <w:color w:val="006432"/>
          <w:sz w:val="20"/>
          <w:u w:val="single"/>
        </w:rPr>
        <w:t>| CSP versus PCA neural projections | Eight source-fitted components per band; 16 projected channels and source scaling | Matched to each other, not to 22-channel shared-logit input |</w:t>
      </w:r>
    </w:p>
    <w:p>
      <w:r>
        <w:rPr>
          <w:strike/>
          <w:color w:val="960000"/>
          <w:sz w:val="20"/>
        </w:rPr>
        <w:t>| Q11 independent branches vs capacity comparator | Same targets; approximate trainable capacity | 5,864 vs 5,914 parameters; branch computation/normalization differ |</w:t>
      </w:r>
    </w:p>
    <w:p>
      <w:r>
        <w:rPr>
          <w:color w:val="006432"/>
          <w:sz w:val="20"/>
          <w:u w:val="single"/>
        </w:rPr>
        <w:t>| Independent branches versus capacity comparator | Same targets; approximate trainable capacity | 5,864 vs 5,914 parameters; branch computation/normalization differ |</w:t>
      </w:r>
    </w:p>
    <w:p>
      <w:r>
        <w:rPr>
          <w:strike/>
          <w:color w:val="960000"/>
          <w:sz w:val="20"/>
        </w:rPr>
        <w:t>| Q12 GroupDRO vs balanced ERM | Same runtime and batching/sampling policy | Declared objective comparison |</w:t>
      </w:r>
    </w:p>
    <w:p>
      <w:r>
        <w:rPr>
          <w:color w:val="006432"/>
          <w:sz w:val="20"/>
          <w:u w:val="single"/>
        </w:rPr>
        <w:t>| GroupDRO versus balanced ERM | Same runtime and batching/sampling policy | Declared objective comparison |</w:t>
      </w:r>
    </w:p>
    <w:p>
      <w:r>
        <w:rPr>
          <w:strike/>
          <w:color w:val="960000"/>
          <w:sz w:val="20"/>
        </w:rPr>
        <w:t>| Q12 whitening/augmentation vs historical Q8 | Same nominal target population and source-only rule | Historical baseline uses another runtime |</w:t>
      </w:r>
    </w:p>
    <w:p>
      <w:r>
        <w:rPr>
          <w:color w:val="006432"/>
          <w:sz w:val="20"/>
          <w:u w:val="single"/>
        </w:rPr>
        <w:t>| Whitening/augmentation versus historical mean-rank | Same nominal target population and source-only rule | Historical baseline uses another runtime |</w:t>
      </w:r>
    </w:p>
    <w:p>
      <w:r>
        <w:rPr>
          <w:strike/>
          <w:color w:val="960000"/>
          <w:sz w:val="20"/>
        </w:rPr>
        <w:t>| Q13 fixed20 vs matched-runtime CE schedule | Same actual runtime, raw files and three seeds | Historical epochs replayed, not reselected in the newer runtime |</w:t>
      </w:r>
    </w:p>
    <w:p>
      <w:r>
        <w:rPr>
          <w:color w:val="006432"/>
          <w:sz w:val="20"/>
          <w:u w:val="single"/>
        </w:rPr>
        <w:t>| Fixed20 versus matched-runtime CE schedule | Same actual runtime, raw files and three seeds | Historical epochs replayed, not reselected in the newer runtime |</w:t>
      </w:r>
    </w:p>
    <w:p>
      <w:r>
        <w:rPr>
          <w:strike/>
          <w:color w:val="960000"/>
          <w:sz w:val="20"/>
        </w:rPr>
        <w:t>| Q13 source-session 0train vs 1test | 2,304 source trials, 20 epochs, 720 updates | Session composition changes; both-session anchor also changes exposure |</w:t>
      </w:r>
    </w:p>
    <w:p>
      <w:r>
        <w:rPr>
          <w:color w:val="006432"/>
          <w:sz w:val="20"/>
          <w:u w:val="single"/>
        </w:rPr>
        <w:t>| Source-session 0train versus 1test | 2,304 source trials, 20 epochs, 720 updates | Session composition changes; both-session anchor also changes exposure |</w:t>
      </w:r>
    </w:p>
    <w:p>
      <w:r>
        <w:rPr>
          <w:strike/>
          <w:color w:val="960000"/>
          <w:sz w:val="20"/>
        </w:rPr>
        <w:t>| Q14 external broad vs shared | 109 people/4,918 trials; 22×480; same source seeds and target rule | 18 vs 17 epochs; metadata amendment after partial execution |</w:t>
      </w:r>
    </w:p>
    <w:p>
      <w:r>
        <w:rPr>
          <w:color w:val="006432"/>
          <w:sz w:val="20"/>
          <w:u w:val="single"/>
        </w:rPr>
        <w:t>| PhysioNet broad versus shared | 109 people/4,918 trials; 22×480; same source seeds and target rule | 18 vs 17 epochs; metadata amendment after partial execution |</w:t>
      </w:r>
    </w:p>
    <w:p>
      <w:r>
        <w:rPr>
          <w:strike/>
          <w:color w:val="960000"/>
          <w:sz w:val="20"/>
        </w:rPr>
        <w:t>| Q15 external broad vs shared | Identical people/trials within cohort; 21×320 adapter, neural family/seeds | 14 vs 19 epochs and one-view vs two-view processing |</w:t>
      </w:r>
    </w:p>
    <w:p>
      <w:r>
        <w:rPr>
          <w:color w:val="006432"/>
          <w:sz w:val="20"/>
          <w:u w:val="single"/>
        </w:rPr>
        <w:t>| Cho2017/Lee2019 broad versus shared | Identical people/trials within cohort; 21×320 adapter, neural family/seeds | 14 vs 19 epochs and one-view vs two-view processing |</w:t>
      </w:r>
    </w:p>
    <w:p>
      <w:r>
        <w:rPr>
          <w:strike/>
          <w:color w:val="960000"/>
          <w:sz w:val="20"/>
        </w:rPr>
        <w:t>| Q14/Q15 CSP4+LDA context | Same cohort scoring population; source-only fit | One shallow model vs three neural seeds; Q15 Helmert; differs from Q4 CSP8/OAS |</w:t>
      </w:r>
    </w:p>
    <w:p>
      <w:r>
        <w:rPr>
          <w:color w:val="006432"/>
          <w:sz w:val="20"/>
          <w:u w:val="single"/>
        </w:rPr>
        <w:t>| External CSP4+LDA context | Same cohort scoring population; source-only fit | One shallow model vs three neural seeds; Cho/Lee fixed Helmert; differs from traditional-baseline CSP8/OAS |</w:t>
      </w:r>
    </w:p>
    <w:p>
      <w:r>
        <w:rPr>
          <w:strike/>
          <w:color w:val="960000"/>
          <w:sz w:val="20"/>
        </w:rPr>
        <w:t>Each comparison controls the aspects listed, while retaining the stated implementation differences. Q14/Q15 therefore compare complete frozen pipelines. Matching selected aspects does not isolate every causal factor, and the CSP comparisons remain descriptive.</w:t>
      </w:r>
    </w:p>
    <w:p>
      <w:r>
        <w:rPr>
          <w:color w:val="006432"/>
          <w:sz w:val="20"/>
          <w:u w:val="single"/>
        </w:rPr>
        <w:t>Each comparison controls the aspects listed, while retaining the stated implementation differences. The two external evaluations therefore compare complete frozen pipelines. Matching selected aspects does not isolate every causal factor, and the CSP comparisons remain descriptive.</w:t>
      </w:r>
    </w:p>
    <w:p>
      <w:r>
        <w:rPr>
          <w:strike/>
          <w:color w:val="960000"/>
          <w:sz w:val="20"/>
        </w:rPr>
        <w:t>### Source-only Robustness Interventions</w:t>
      </w:r>
    </w:p>
    <w:p>
      <w:r>
        <w:rPr>
          <w:strike/>
          <w:color w:val="960000"/>
          <w:sz w:val="20"/>
        </w:rPr>
        <w:t>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[23].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t>
      </w:r>
    </w:p>
    <w:p>
      <w:r>
        <w:rPr>
          <w:strike/>
          <w:color w:val="960000"/>
          <w:sz w:val="20"/>
        </w:rPr>
        <w:t>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t>
      </w:r>
    </w:p>
    <w:p>
      <w:r>
        <w:rPr>
          <w:strike/>
          <w:color w:val="960000"/>
          <w:sz w:val="20"/>
        </w:rPr>
        <w:t>### Earlier Binary Source Freeze and PhysioNet Evaluation (Q14)</w:t>
      </w:r>
    </w:p>
    <w:p>
      <w:r>
        <w:rPr>
          <w:strike/>
          <w:color w:val="960000"/>
          <w:sz w:val="20"/>
        </w:rP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t>
      </w:r>
    </w:p>
    <w:p>
      <w:r>
        <w:rPr>
          <w:strike/>
          <w:color w:val="960000"/>
          <w:sz w:val="20"/>
        </w:rPr>
        <w:t>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t>
      </w:r>
    </w:p>
    <w:p>
      <w:r>
        <w:rPr>
          <w:strike/>
          <w:color w:val="960000"/>
          <w:sz w:val="20"/>
        </w:rPr>
        <w:t>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t>
      </w:r>
    </w:p>
    <w:p>
      <w:r>
        <w:rPr>
          <w:strike/>
          <w:color w:val="960000"/>
          <w:sz w:val="20"/>
        </w:rPr>
        <w:t>### Frozen Cho2017/Lee2019 Transfer (Q15)</w:t>
      </w:r>
    </w:p>
    <w:p>
      <w:r>
        <w:rPr>
          <w:strike/>
          <w:color w:val="960000"/>
          <w:sz w:val="20"/>
        </w:rPr>
        <w:t>The frozen Cho2017/Lee2019 study is a separate binary transfer experiment using different checkpoints from Q14.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Q14 as an effect of external provider alone.</w:t>
      </w:r>
    </w:p>
    <w:p>
      <w:r>
        <w:rPr>
          <w:strike/>
          <w:color w:val="960000"/>
          <w:sz w:val="20"/>
        </w:rPr>
        <w:t>The Q15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t>
      </w:r>
    </w:p>
    <w:p>
      <w:r>
        <w:rPr>
          <w:strike/>
          <w:color w:val="960000"/>
          <w:sz w:val="20"/>
        </w:rPr>
        <w:t>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w:t>
      </w:r>
    </w:p>
    <w:p>
      <w:r>
        <w:rPr>
          <w:strike/>
          <w:color w:val="960000"/>
          <w:sz w:val="20"/>
        </w:rPr>
        <w:t>### BNCI-only Physiological Signal Characterization (Q16)</w:t>
      </w:r>
    </w:p>
    <w:p>
      <w:r>
        <w:rPr>
          <w:color w:val="006432"/>
          <w:sz w:val="20"/>
          <w:u w:val="single"/>
        </w:rPr>
        <w:t>### BNCI-only Physiological Signal Characterization</w:t>
      </w:r>
    </w:p>
    <w:p>
      <w:r>
        <w:rPr>
          <w:strike/>
          <w:color w:val="960000"/>
          <w:sz w:val="20"/>
        </w:rPr>
        <w:t>The physiological parameters were fixed on 6 October 2026 after the decoder outcomes were known and before the physiological calculations. The analysis is therefore descriptive and does not provide independent confirmation. Associations use existing matched-binary Q14-E001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in Q16-P001-BNCI-20261006.</w:t>
      </w:r>
    </w:p>
    <w:p>
      <w:r>
        <w:rPr>
          <w:color w:val="006432"/>
          <w:sz w:val="20"/>
          <w:u w:val="single"/>
        </w:rPr>
        <w:t>The physiological parameters were fixed on 6 October 2026 after the decoder outcomes were known and before the physiological calculations. The analysis is therefore descriptive and does not provide independent confirmation. Associations use existing matched-binary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identified in the supplementary provenance inventory.</w:t>
      </w:r>
    </w:p>
    <w:p>
      <w:r>
        <w:rPr>
          <w:strike/>
          <w:color w:val="960000"/>
          <w:sz w:val="20"/>
        </w:rPr>
        <w:t>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Q14 and Q15 differ in source preprocessing and checkpoints.</w:t>
      </w:r>
    </w:p>
    <w:p>
      <w:r>
        <w:rPr>
          <w:color w:val="006432"/>
          <w:sz w:val="20"/>
          <w:u w:val="single"/>
        </w:rPr>
        <w:t>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the PhysioNet and Cho2017/Lee2019 evaluations differ in source preprocessing and checkpoints. Equation (3) defines the balanced-accuracy scoring rule.</w:t>
      </w:r>
    </w:p>
    <w:p>
      <w:r>
        <w:rPr>
          <w:strike/>
          <w:color w:val="960000"/>
          <w:sz w:val="20"/>
        </w:rPr>
        <w:t>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Q15, the predeclared family contains exactly two shared-minus-broad contrasts, one for each external cohort. Percentile person-bootstrap intervals use 20,000 draws with seed 20260924 [24]. Two-sided person-level sign-flip tests use 20,000 Monte Carlo draws with seed 20261003, assuming sign exchangeability of paired person effects under the null, evaluating the absolute mean, and applying the (exceedances + 1)/(20,000 + 1) correction [25]. Holm adjustment controls this two-contrast family [26]; it does not retroactively include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rPr>
          <w:color w:val="006432"/>
          <w:sz w:val="20"/>
          <w:u w:val="single"/>
        </w:rPr>
        <w:t>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the Cho2017/Lee2019 evaluation, the predeclared family contains exactly two shared-minus-broad contrasts, one for each external cohort. Percentile person-bootstrap intervals use 20,000 draws with seed 20260924 [32]. Two-sided person-level sign-flip tests use 20,000 Monte Carlo draws with seed 20261003, assuming sign exchangeability of paired person effects under the null, evaluating the absolute mean, and applying the (exceedances + 1)/(20,000 + 1) correction [33]. Holm adjustment controls this two-contrast family [34]; it does not retroactively include the earlier PhysioNet or internal hypotheses. The smallest attainable Monte Carlo p-value is 1/20,001. The intervals are unadjusted 95% intervals, and CSP comparisons are descriptive context. Descriptive Cho2017/Lee2019 transfer counts of positive, negative, and tied person effects use an absolute 10^−15 tolerance for ties; the frozen primary bootstrap and sign-flip calculations retain the saved numerical effects.</w:t>
      </w:r>
    </w:p>
    <w:p>
      <w:r>
        <w:rPr>
          <w:strike/>
          <w:color w:val="960000"/>
          <w:sz w:val="20"/>
        </w:rPr>
        <w:t>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Q15’s frozen two-cohort tests and cannot retrospectively confirm the decoder contrasts.</w:t>
      </w:r>
    </w:p>
    <w:p>
      <w:r>
        <w:rPr>
          <w:color w:val="006432"/>
          <w:sz w:val="20"/>
          <w:u w:val="single"/>
        </w:rPr>
        <w:t>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the Cho2017/Lee2019 evaluation’s frozen two-cohort tests and cannot retrospectively confirm the decoder contrasts.</w:t>
      </w:r>
    </w:p>
    <w:p>
      <w:r>
        <w:rPr>
          <w:color w:val="006432"/>
          <w:sz w:val="20"/>
          <w:u w:val="single"/>
        </w:rPr>
        <w:t>### Archived-output CSP diagnostic audit</w:t>
      </w:r>
    </w:p>
    <w:p>
      <w:r>
        <w:rPr>
          <w:color w:val="006432"/>
          <w:sz w:val="20"/>
          <w:u w:val="single"/>
        </w:rPr>
        <w:t>The diagnostic audit reads the existing frozen CSP prediction tables, probability columns, participant identities and validation hash bindings. It reconstructs participant and pooled confusion matrices without loading a model or producing predictions. Left-prediction proportions and probability medians pool trials; the primary balanced-accuracy estimand remains an equal-person mean. A binary predicted-label complement is an arithmetic check, not a revised predictor or an outcome-selected correction. These post hoc diagnostics do not change primary scores, mappings, thresholds, models or inference contracts. They cannot by themselves exclude every adapter error or identify a physical transfer mechanism.</w:t>
      </w:r>
    </w:p>
    <w:p>
      <w:r>
        <w:rPr>
          <w:strike/>
          <w:color w:val="960000"/>
          <w:sz w:val="20"/>
        </w:rPr>
        <w:t>Public BNCI2014_001, PhysioNet, Cho2017 and Lee2019 recordings are available from the original providers [1,2,5,6,7,8,9,10], subject to their licenses and terms of use. PhysioNet platform publications are cited separately [27,28].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t>
      </w:r>
    </w:p>
    <w:p>
      <w:r>
        <w:rPr>
          <w:color w:val="006432"/>
          <w:sz w:val="20"/>
          <w:u w:val="single"/>
        </w:rPr>
        <w:t>Public BNCI2014_001, PhysioNet, Cho2017 and Lee2019 recordings are available from the original providers [1,2,5,6,7,8,9,10], subject to their licenses and terms of use. PhysioNet platform publications are cited separately [35,36].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t>
      </w:r>
    </w:p>
    <w:p>
      <w:r>
        <w:rPr>
          <w:strike/>
          <w:color w:val="960000"/>
          <w:sz w:val="20"/>
        </w:rPr>
        <w:t>The current submission materials and licensing notices are available at https://github.com/jackzhu119/cross-subject-mi-eeg/tree/plos-one-submission-v1.1. Author-owned original software is licensed under MIT; author-owned original manuscript material and derived outputs are licensed under CC BY 4.0. Third-party recordings, software, fonts and other incorporated materials retain their original terms. These permissions do not alter frozen scientific results or grant third-party rights.</w:t>
      </w:r>
    </w:p>
    <w:p>
      <w:r>
        <w:rPr>
          <w:color w:val="006432"/>
          <w:sz w:val="20"/>
          <w:u w:val="single"/>
        </w:rPr>
        <w:t>The preserved submitted materials and licensing notices are available at https://github.com/jackzhu119/cross-subject-mi-eeg/tree/plos-one-submission-v1.1. This post-submission revision candidate is maintained separately on paper/plos-one-postsubmission-review-20261010. Author-owned original software is licensed under MIT; author-owned original manuscript material and derived outputs are licensed under CC BY 4.0. Third-party recordings, software, fonts and incorporated materials retain their original terms. Raw EEG is not redistributed.</w:t>
      </w:r>
    </w:p>
    <w:p>
      <w:r>
        <w:rPr>
          <w:strike/>
          <w:color w:val="960000"/>
          <w:sz w:val="20"/>
        </w:rPr>
        <w:t>The underlying Codex model version is not reliably documented in the project records. Saved-result checks compared reported numbers with frozen outputs and archived independent validation reports; these checks did not rerun models or physiology experiments during manuscript preparation. The author reports personal review and revision of the scientific content. No AI tool is an author.</w:t>
      </w:r>
    </w:p>
    <w:p>
      <w:r>
        <w:rPr>
          <w:color w:val="006432"/>
          <w:sz w:val="20"/>
          <w:u w:val="single"/>
        </w:rPr>
        <w:t>The underlying Codex model version is not reliably documented in the project records. Manuscript-preparation checks compare saved outputs and archived independent validation reports. The archived-output diagnostic audit involved no model fitting, checkpoint inference or new physiological experiment. The author reports personal verification and revision of the scientific content. No AI tool is an author.</w:t>
      </w:r>
    </w:p>
    <w:p>
      <w:r>
        <w:rPr>
          <w:strike/>
          <w:color w:val="960000"/>
          <w:sz w:val="20"/>
        </w:rPr>
        <w:t>The corresponding saved summary is presented in Table 4.</w:t>
      </w:r>
    </w:p>
    <w:p>
      <w:r>
        <w:rPr>
          <w:color w:val="006432"/>
          <w:sz w:val="20"/>
          <w:u w:val="single"/>
        </w:rPr>
        <w:t>Table 4 summarizes completed development conditions.</w:t>
      </w:r>
    </w:p>
    <w:p>
      <w:r>
        <w:rPr>
          <w:strike/>
          <w:color w:val="960000"/>
          <w:sz w:val="20"/>
        </w:rPr>
        <w:t>The corresponding saved summary is presented in Fig 2.</w:t>
      </w:r>
    </w:p>
    <w:p>
      <w:r>
        <w:rPr>
          <w:color w:val="006432"/>
          <w:sz w:val="20"/>
          <w:u w:val="single"/>
        </w:rPr>
        <w:t>Fig 2 shows source-selected schedules, participant scores and the one-person duration diagnostic.</w:t>
      </w:r>
    </w:p>
    <w:p>
      <w:r>
        <w:rPr>
          <w:strike/>
          <w:color w:val="960000"/>
          <w:sz w:val="20"/>
        </w:rPr>
        <w:t>The corresponding saved summary is presented in Fig 3.</w:t>
      </w:r>
    </w:p>
    <w:p>
      <w:r>
        <w:rPr>
          <w:color w:val="006432"/>
          <w:sz w:val="20"/>
          <w:u w:val="single"/>
        </w:rPr>
        <w:t>Fig 3 displays source-count trajectories and matched-runtime participant differences.</w:t>
      </w:r>
    </w:p>
    <w:p>
      <w:r>
        <w:rPr>
          <w:strike/>
          <w:color w:val="960000"/>
          <w:sz w:val="20"/>
        </w:rPr>
        <w:t>The internal shared mu/beta condition achieved 42.19% balanced accuracy, compared with 42.67% for the broad mean-rank baseline, a −0.48 pp mean difference. The archived Q10-V001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t>
      </w:r>
    </w:p>
    <w:p>
      <w:r>
        <w:rPr>
          <w:color w:val="006432"/>
          <w:sz w:val="20"/>
          <w:u w:val="single"/>
        </w:rPr>
        <w:t>The internal shared mu/beta condition achieved 42.19% balanced accuracy, compared with 42.67% for the broad mean-rank baseline, a −0.48 pp mean difference. The archived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t>
      </w:r>
    </w:p>
    <w:p>
      <w:r>
        <w:rPr>
          <w:strike/>
          <w:color w:val="960000"/>
          <w:sz w:val="20"/>
        </w:rPr>
        <w:t>The corresponding saved summary is presented in Table 5.</w:t>
      </w:r>
    </w:p>
    <w:p>
      <w:r>
        <w:rPr>
          <w:color w:val="006432"/>
          <w:sz w:val="20"/>
          <w:u w:val="single"/>
        </w:rPr>
        <w:t>Table 5 retains adverse and null robustness results.</w:t>
      </w:r>
    </w:p>
    <w:p>
      <w:r>
        <w:rPr>
          <w:strike/>
          <w:color w:val="960000"/>
          <w:sz w:val="20"/>
        </w:rPr>
        <w:t>| Whitening | 44.34 | Q8 historical | +1.67 | [−0.39, +3.67] | 0.3594 |</w:t>
      </w:r>
    </w:p>
    <w:p>
      <w:r>
        <w:rPr>
          <w:color w:val="006432"/>
          <w:sz w:val="20"/>
          <w:u w:val="single"/>
        </w:rPr>
        <w:t>| Whitening | 44.34 | Historical mean-rank | +1.67 | [−0.39, +3.67] | 0.3594 |</w:t>
      </w:r>
    </w:p>
    <w:p>
      <w:r>
        <w:rPr>
          <w:strike/>
          <w:color w:val="960000"/>
          <w:sz w:val="20"/>
        </w:rPr>
        <w:t>| Balanced ERM | 43.18 | Q8 historical | +0.51 | [−0.71, +1.77] | 0.4766 |</w:t>
      </w:r>
    </w:p>
    <w:p>
      <w:r>
        <w:rPr>
          <w:color w:val="006432"/>
          <w:sz w:val="20"/>
          <w:u w:val="single"/>
        </w:rPr>
        <w:t>| Balanced ERM | 43.18 | Historical mean-rank | +0.51 | [−0.71, +1.77] | 0.4766 |</w:t>
      </w:r>
    </w:p>
    <w:p>
      <w:r>
        <w:rPr>
          <w:strike/>
          <w:color w:val="960000"/>
          <w:sz w:val="20"/>
        </w:rPr>
        <w:t>| Channel dropout | 41.00 | Q8 historical | −1.67 | [−4.51, +0.64] | 0.7617 |</w:t>
      </w:r>
    </w:p>
    <w:p>
      <w:r>
        <w:rPr>
          <w:color w:val="006432"/>
          <w:sz w:val="20"/>
          <w:u w:val="single"/>
        </w:rPr>
        <w:t>| Channel dropout | 41.00 | Historical mean-rank | −1.67 | [−4.51, +0.64] | 0.7617 |</w:t>
      </w:r>
    </w:p>
    <w:p>
      <w:r>
        <w:rPr>
          <w:strike/>
          <w:color w:val="960000"/>
          <w:sz w:val="20"/>
        </w:rPr>
        <w:t>| Gain perturbation | 43.42 | Q8 historical | +0.75 | [−0.34, +1.86] | 0.7617 |</w:t>
      </w:r>
    </w:p>
    <w:p>
      <w:r>
        <w:rPr>
          <w:color w:val="006432"/>
          <w:sz w:val="20"/>
          <w:u w:val="single"/>
        </w:rPr>
        <w:t>| Gain perturbation | 43.42 | Historical mean-rank | +0.75 | [−0.34, +1.86] | 0.7617 |</w:t>
      </w:r>
    </w:p>
    <w:p>
      <w:r>
        <w:rPr>
          <w:strike/>
          <w:color w:val="960000"/>
          <w:sz w:val="20"/>
        </w:rPr>
        <w:t>| Dropout + gain | 40.92 | Q8 historical | −1.75 | [−5.05, +0.91] | 0.7617 |</w:t>
      </w:r>
    </w:p>
    <w:p>
      <w:r>
        <w:rPr>
          <w:color w:val="006432"/>
          <w:sz w:val="20"/>
          <w:u w:val="single"/>
        </w:rPr>
        <w:t>| Dropout + gain | 40.92 | Historical mean-rank | −1.75 | [−5.05, +0.91] | 0.7617 |</w:t>
      </w:r>
    </w:p>
    <w:p>
      <w:r>
        <w:rPr>
          <w:strike/>
          <w:color w:val="960000"/>
          <w:sz w:val="20"/>
        </w:rPr>
        <w:t>Intervals are the archived, unadjusted person-bootstrap intervals; p-values use the declared within-family Holm correction. Every comparison with Q8 crosses runtimes. GroupDRO versus balanced ERM matches batching within the same runtime. Neither intervals nor p-values are used to select a model on target outcomes.</w:t>
      </w:r>
    </w:p>
    <w:p>
      <w:r>
        <w:rPr>
          <w:color w:val="006432"/>
          <w:sz w:val="20"/>
          <w:u w:val="single"/>
        </w:rPr>
        <w:t>Intervals are the archived, unadjusted person-bootstrap intervals; p-values use the declared within-family Holm correction. Every comparison with mean-rank follow-up crosses runtimes. GroupDRO versus balanced ERM matches batching within the same runtime. Neither intervals nor p-values are used to select a model on target outcomes.</w:t>
      </w:r>
    </w:p>
    <w:p>
      <w:r>
        <w:rPr>
          <w:strike/>
          <w:color w:val="960000"/>
          <w:sz w:val="20"/>
        </w:rPr>
        <w:t>The corresponding saved summary is presented in Fig 4.</w:t>
      </w:r>
    </w:p>
    <w:p>
      <w:r>
        <w:rPr>
          <w:color w:val="006432"/>
          <w:sz w:val="20"/>
          <w:u w:val="single"/>
        </w:rPr>
        <w:t>Table 6 reports the separate PhysioNet model estimates.</w:t>
      </w:r>
    </w:p>
    <w:p>
      <w:r>
        <w:rPr>
          <w:color w:val="006432"/>
          <w:sz w:val="20"/>
          <w:u w:val="single"/>
        </w:rPr>
        <w:t>**Table 6. Separate binary external evaluation (109 participants).**</w:t>
      </w:r>
    </w:p>
    <w:p>
      <w:r>
        <w:rPr>
          <w:color w:val="006432"/>
          <w:sz w:val="20"/>
          <w:u w:val="single"/>
        </w:rPr>
        <w:t>| Frozen model | Mean BA (%) | Subject SD (pp) | Median BA (%) |</w:t>
      </w:r>
    </w:p>
    <w:p>
      <w:r>
        <w:rPr>
          <w:color w:val="006432"/>
          <w:sz w:val="20"/>
          <w:u w:val="single"/>
        </w:rPr>
        <w:t>| --- | --- | --- | --- |</w:t>
      </w:r>
    </w:p>
    <w:p>
      <w:r>
        <w:rPr>
          <w:color w:val="006432"/>
          <w:sz w:val="20"/>
          <w:u w:val="single"/>
        </w:rPr>
        <w:t>| Broad EEGNet | 61.81 | 12.56 | 58.23 |</w:t>
      </w:r>
    </w:p>
    <w:p>
      <w:r>
        <w:rPr>
          <w:color w:val="006432"/>
          <w:sz w:val="20"/>
          <w:u w:val="single"/>
        </w:rPr>
        <w:t>| Shared mu/beta | 62.39 | 12.92 | 58.73 |</w:t>
      </w:r>
    </w:p>
    <w:p>
      <w:r>
        <w:rPr>
          <w:color w:val="006432"/>
          <w:sz w:val="20"/>
          <w:u w:val="single"/>
        </w:rPr>
        <w:t>| CSP4 + LDA | 54.46 | 7.90 | 52.08 |</w:t>
      </w:r>
    </w:p>
    <w:p>
      <w:r>
        <w:rPr>
          <w:color w:val="006432"/>
          <w:sz w:val="20"/>
          <w:u w:val="single"/>
        </w:rPr>
        <w:t>Deep-model scores are averaged over seeds within person. The primary shared-minus-broad contrast is +0.573 pp, 95% CI [−0.097,+1.242], p = 0.06446. CSP provides context and is outside the primary hypothesis. The Methods describe the sampling-rate amendment and versioned portability validation.</w:t>
      </w:r>
    </w:p>
    <w:p>
      <w:r>
        <w:rPr>
          <w:color w:val="006432"/>
          <w:sz w:val="20"/>
          <w:u w:val="single"/>
        </w:rPr>
        <w:t>### Completed Cho2017 and Lee2019 transfer: lower balanced accuracy on Cho2017 and an uncertain Lee2019 contrast</w:t>
      </w:r>
    </w:p>
    <w:p>
      <w:r>
        <w:rPr>
          <w:color w:val="006432"/>
          <w:sz w:val="20"/>
          <w:u w:val="single"/>
        </w:rPr>
        <w:t>The completed Cho2017/Lee2019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t>
      </w:r>
    </w:p>
    <w:p>
      <w:r>
        <w:rPr>
          <w:color w:val="006432"/>
          <w:sz w:val="20"/>
          <w:u w:val="single"/>
        </w:rP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t>
      </w:r>
    </w:p>
    <w:p>
      <w:r>
        <w:rPr>
          <w:color w:val="006432"/>
          <w:sz w:val="20"/>
          <w:u w:val="single"/>
        </w:rPr>
        <w:t>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t>
      </w:r>
    </w:p>
    <w:p>
      <w:r>
        <w:rPr>
          <w:color w:val="006432"/>
          <w:sz w:val="20"/>
          <w:u w:val="single"/>
        </w:rPr>
        <w:t>Table 7 shows cohort scores and class recalls.</w:t>
      </w:r>
    </w:p>
    <w:p>
      <w:r>
        <w:rPr>
          <w:color w:val="006432"/>
          <w:sz w:val="20"/>
          <w:u w:val="single"/>
        </w:rPr>
        <w:t>**Table 7. Frozen external binary evaluation on Cho2017 and Lee2019.**</w:t>
      </w:r>
    </w:p>
    <w:p>
      <w:r>
        <w:rPr>
          <w:color w:val="006432"/>
          <w:sz w:val="20"/>
          <w:u w:val="single"/>
        </w:rPr>
        <w:t>| Cohort / model | BA (%) | Person SD (pp) | Left recall (%) | Right recall (%) |</w:t>
      </w:r>
    </w:p>
    <w:p>
      <w:r>
        <w:rPr>
          <w:color w:val="006432"/>
          <w:sz w:val="20"/>
          <w:u w:val="single"/>
        </w:rPr>
        <w:t>| --- | --- | --- | --- | --- |</w:t>
      </w:r>
    </w:p>
    <w:p>
      <w:r>
        <w:rPr>
          <w:color w:val="006432"/>
          <w:sz w:val="20"/>
          <w:u w:val="single"/>
        </w:rPr>
        <w:t>| Cho2017 / Broad EEGNet | 59.82 | 8.64 | 46.79 | 72.86 |</w:t>
      </w:r>
    </w:p>
    <w:p>
      <w:r>
        <w:rPr>
          <w:color w:val="006432"/>
          <w:sz w:val="20"/>
          <w:u w:val="single"/>
        </w:rPr>
        <w:t>| Cho2017 / Shared mu/beta | 58.31 | 7.22 | 37.52 | 79.10 |</w:t>
      </w:r>
    </w:p>
    <w:p>
      <w:r>
        <w:rPr>
          <w:color w:val="006432"/>
          <w:sz w:val="20"/>
          <w:u w:val="single"/>
        </w:rPr>
        <w:t>| Cho2017 / CSP4 + LDA | 51.99 | 5.67 | 94.10 | 9.88 |</w:t>
      </w:r>
    </w:p>
    <w:p>
      <w:r>
        <w:rPr>
          <w:color w:val="006432"/>
          <w:sz w:val="20"/>
          <w:u w:val="single"/>
        </w:rPr>
        <w:t>| Lee2019 / Broad EEGNet | 65.51 | 10.97 | 75.56 | 55.46 |</w:t>
      </w:r>
    </w:p>
    <w:p>
      <w:r>
        <w:rPr>
          <w:color w:val="006432"/>
          <w:sz w:val="20"/>
          <w:u w:val="single"/>
        </w:rPr>
        <w:t>| Lee2019 / Shared mu/beta | 65.72 | 10.76 | 72.69 | 58.75 |</w:t>
      </w:r>
    </w:p>
    <w:p>
      <w:r>
        <w:rPr>
          <w:color w:val="006432"/>
          <w:sz w:val="20"/>
          <w:u w:val="single"/>
        </w:rPr>
        <w:t>| Lee2019 / CSP4 + LDA | 52.77 | 5.57 | 85.98 | 19.56 |</w:t>
      </w:r>
    </w:p>
    <w:p>
      <w:r>
        <w:rPr>
          <w:color w:val="006432"/>
          <w:sz w:val="20"/>
          <w:u w:val="single"/>
        </w:rPr>
        <w:t>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t>
      </w:r>
    </w:p>
    <w:p>
      <w:r>
        <w:rPr>
          <w:color w:val="006432"/>
          <w:sz w:val="20"/>
          <w:u w:val="single"/>
        </w:rPr>
        <w:t>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 A post-submission audit of the unchanged prediction files found trial-pooled left-prediction proportions of 92.07% for Cho2017 and 83.21% for Lee2019. Median stored left-class probabilities were 0.669 and 0.633. These probability summaries do not assess calibration. Cho participants have unequal trial counts, so pooled prediction proportions must not be confused with the primary equal-person balanced accuracy. Participant confusion matrices and aggregation definitions are provided in S1 Appendix, Table S5 and S1 Data.</w:t>
      </w:r>
    </w:p>
    <w:p>
      <w:r>
        <w:rPr>
          <w:color w:val="006432"/>
          <w:sz w:val="20"/>
          <w:u w:val="single"/>
        </w:rPr>
        <w:t>Fig 5 presents the frozen Cho2017/Lee2019 complete-pipeline contrasts.</w:t>
      </w:r>
    </w:p>
    <w:p>
      <w:r>
        <w:rPr>
          <w:color w:val="006432"/>
          <w:sz w:val="20"/>
          <w:u w:val="single"/>
        </w:rPr>
        <w:t>Fig 5. Frozen Cho2017/Lee2019 transfer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the earlier PhysioNet evaluation, and no pooled cross-cohort test was specified.</w:t>
      </w:r>
    </w:p>
    <w:p>
      <w:r>
        <w:rPr>
          <w:color w:val="006432"/>
          <w:sz w:val="20"/>
          <w:u w:val="single"/>
        </w:rPr>
        <w:t>### Descriptive BNCI Sensor Physiology and Decoder Associations</w:t>
      </w:r>
    </w:p>
    <w:p>
      <w:r>
        <w:rPr>
          <w:color w:val="006432"/>
          <w:sz w:val="20"/>
          <w:u w:val="single"/>
        </w:rPr>
        <w:t>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t>
      </w:r>
    </w:p>
    <w:p>
      <w:r>
        <w:rPr>
          <w:color w:val="006432"/>
          <w:sz w:val="20"/>
          <w:u w:val="single"/>
        </w:rPr>
        <w:t>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 The fixed ±6-dB scale makes the small magnitude of the cohort means visible without rescaling each panel. Circle/triangle symbols distinguish imagined hands in the profiles; signed values and the shared labelled scale supplement colour. This schematic sensor map is not a cortical source map.</w:t>
      </w:r>
    </w:p>
    <w:p>
      <w:r>
        <w:rPr>
          <w:color w:val="006432"/>
          <w:sz w:val="20"/>
          <w:u w:val="single"/>
        </w:rPr>
        <w:t>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t>
      </w:r>
    </w:p>
    <w:p>
      <w:r>
        <w:rPr>
          <w:color w:val="006432"/>
          <w:sz w:val="20"/>
          <w:u w:val="single"/>
        </w:rPr>
        <w:t>**Table 8. Baseline-relative hand power and signed C3/C4 laterality.**</w:t>
      </w:r>
    </w:p>
    <w:p>
      <w:r>
        <w:rPr>
          <w:color w:val="006432"/>
          <w:sz w:val="20"/>
          <w:u w:val="single"/>
        </w:rPr>
        <w:t>| Band | Contra. mean (dB) | Ipsi. mean (dB) | Mean L (dB) | Person L range (dB) | L signs (−/+) |</w:t>
      </w:r>
    </w:p>
    <w:p>
      <w:r>
        <w:rPr>
          <w:color w:val="006432"/>
          <w:sz w:val="20"/>
          <w:u w:val="single"/>
        </w:rPr>
        <w:t>| --- | --- | --- | --- | --- | --- |</w:t>
      </w:r>
    </w:p>
    <w:p>
      <w:r>
        <w:rPr>
          <w:color w:val="006432"/>
          <w:sz w:val="20"/>
          <w:u w:val="single"/>
        </w:rPr>
        <w:t>| Mu, 8–13 Hz | −0.308 | −0.058 | −0.250 | −1.432 to +0.336 | 6 / 3 |</w:t>
      </w:r>
    </w:p>
    <w:p>
      <w:r>
        <w:rPr>
          <w:color w:val="006432"/>
          <w:sz w:val="20"/>
          <w:u w:val="single"/>
        </w:rPr>
        <w:t>| Beta, 13–30 Hz | −0.439 | −0.272 | −0.168 | −0.519 to +0.133 | 8 / 1 |</w:t>
      </w:r>
    </w:p>
    <w:p>
      <w:r>
        <w:rPr>
          <w:color w:val="006432"/>
          <w:sz w:val="20"/>
          <w:u w:val="single"/>
        </w:rPr>
        <w:t>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t>
      </w:r>
    </w:p>
    <w:p>
      <w:r>
        <w:rPr>
          <w:color w:val="006432"/>
          <w:sz w:val="20"/>
          <w:u w:val="single"/>
        </w:rPr>
        <w:t>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t>
      </w:r>
    </w:p>
    <w:p>
      <w:r>
        <w:rPr>
          <w:color w:val="006432"/>
          <w:sz w:val="20"/>
          <w:u w:val="single"/>
        </w:rPr>
        <w:t>## Discussion</w:t>
      </w:r>
    </w:p>
    <w:p>
      <w:r>
        <w:rPr>
          <w:color w:val="006432"/>
          <w:sz w:val="20"/>
          <w:u w:val="single"/>
        </w:rPr>
        <w:t>### Training-duration Sensitivity in a Small Development Benchmark</w:t>
      </w:r>
    </w:p>
    <w:p>
      <w:r>
        <w:rPr>
          <w:color w:val="006432"/>
          <w:sz w:val="20"/>
          <w:u w:val="single"/>
        </w:rPr>
        <w:t>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 In this benchmark, a fixed 20-epoch development condition also reached a cohort mean of 43.99%, compared with 42.67% for mean-rank and 33.72% for the earlier mean-loss condition. Those cross-batch means are descriptive. The matched-runtime evidence shows that duration auditing can diagnose apparent collapse without establishing an optimal stopping rule or a typical-person benefit.</w:t>
      </w:r>
    </w:p>
    <w:p>
      <w:r>
        <w:rPr>
          <w:color w:val="006432"/>
          <w:sz w:val="20"/>
          <w:u w:val="single"/>
        </w:rPr>
        <w:t>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t>
      </w:r>
    </w:p>
    <w:p>
      <w:r>
        <w:rPr>
          <w:color w:val="006432"/>
          <w:sz w:val="20"/>
          <w:u w:val="single"/>
        </w:rPr>
        <w:t>### Complete Spectral Pipelines Have Cohort-dependent Outcomes</w:t>
      </w:r>
    </w:p>
    <w:p>
      <w:r>
        <w:rPr>
          <w:color w:val="006432"/>
          <w:sz w:val="20"/>
          <w:u w:val="single"/>
        </w:rPr>
        <w:t>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t>
      </w:r>
    </w:p>
    <w:p>
      <w:r>
        <w:rPr>
          <w:color w:val="006432"/>
          <w:sz w:val="20"/>
          <w:u w:val="single"/>
        </w:rPr>
        <w:t>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t>
      </w:r>
    </w:p>
    <w:p>
      <w:r>
        <w:rPr>
          <w:color w:val="006432"/>
          <w:sz w:val="20"/>
          <w:u w:val="single"/>
        </w:rPr>
        <w:t>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the Cho2017/Lee2019 evaluation. Performance above this contextual comparator does not establish practical or clinical reliability. Contemporary adaptation and foundation-model methods were not compared under a common budget, so the results support no state-of-the-art claim.</w:t>
      </w:r>
    </w:p>
    <w:p>
      <w:r>
        <w:rPr>
          <w:color w:val="006432"/>
          <w:sz w:val="20"/>
          <w:u w:val="single"/>
        </w:rPr>
        <w:t>The external schedules belong to the complete-pipeline contrast: broad/shared fits used 18/17 epochs for PhysioNet and 14/19 for Cho2017/Lee2019. The paired differences combine duration selection, preprocessing, one-view versus two-view computation and normalization exposure. They cannot identify the independent effect of parameter sharing or band decomposition. No matched-duration pair of final all-source checkpoints was available in the frozen evidence; comparing a new equal-duration pair would require additional source fits if those models do not already exist.</w:t>
      </w:r>
    </w:p>
    <w:p>
      <w:r>
        <w:rPr>
          <w:color w:val="006432"/>
          <w:sz w:val="20"/>
          <w:u w:val="single"/>
        </w:rPr>
        <w:t>The archived-output audit confirms a severe CSP class asymmetry, not an exact single-class prediction for every trial. Original source validation establishes artifact and partition consistency, and the external replay establishes consistency of the declared adapter and frozen predictions. Neither proves that the chosen CSP design is optimal or that every acquisition and mapping assumption is physically correct. Held-out source predictions for this exact 21-channel CSP specification were not available in the audited evidence. Transfer sensitivity is a plausible explanation, but neither an exclusive causal account nor the absence of every implementation error is established.</w:t>
      </w:r>
    </w:p>
    <w:p>
      <w:r>
        <w:rPr>
          <w:color w:val="006432"/>
          <w:sz w:val="20"/>
          <w:u w:val="single"/>
        </w:rPr>
        <w:t>### Person-level Evidence and Descriptive Signal Characterization</w:t>
      </w:r>
    </w:p>
    <w:p>
      <w:r>
        <w:rPr>
          <w:color w:val="006432"/>
          <w:sz w:val="20"/>
          <w:u w:val="single"/>
        </w:rPr>
        <w:t>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t>
      </w:r>
    </w:p>
    <w:p>
      <w:r>
        <w:rPr>
          <w:color w:val="006432"/>
          <w:sz w:val="20"/>
          <w:u w:val="single"/>
        </w:rPr>
        <w:t>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The Cho2017/Lee2019 evaluation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t>
      </w:r>
    </w:p>
    <w:p>
      <w:r>
        <w:rPr>
          <w:color w:val="006432"/>
          <w:sz w:val="20"/>
          <w:u w:val="single"/>
        </w:rPr>
        <w:t>The BNCI analysis provides descriptive, sensor-level baseline-relative characterization,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t>
      </w:r>
    </w:p>
    <w:p>
      <w:r>
        <w:rPr>
          <w:color w:val="006432"/>
          <w:sz w:val="20"/>
          <w:u w:val="single"/>
        </w:rPr>
        <w:t>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t>
      </w:r>
    </w:p>
    <w:p>
      <w:r>
        <w:rPr>
          <w:color w:val="006432"/>
          <w:sz w:val="20"/>
          <w:u w:val="single"/>
        </w:rPr>
        <w:t>Headline accuracies from other studies cannot position these cohort means in a common ranking. Roots et al. report pooled-window accuracy rather than participant-level balanced accuracy; overlapping-filter and multiscale architectures use different branches, tasks and selection procedures [23,24,28]. Target fine-tuning and calibration further distinguish adaptive transfer and BEETL [26,27]. Cohort eligibility, trial window, reference, montage, training exposure and target-information access must all match before a numerical comparison can address method superiority. No published model was rerun under such a matched budget.</w:t>
      </w:r>
    </w:p>
    <w:p>
      <w:r>
        <w:rPr>
          <w:color w:val="006432"/>
          <w:sz w:val="20"/>
          <w:u w:val="single"/>
        </w:rPr>
        <w:t>### Limitations</w:t>
      </w:r>
    </w:p>
    <w:p>
      <w:r>
        <w:rPr>
          <w:color w:val="006432"/>
          <w:sz w:val="20"/>
          <w:u w:val="single"/>
        </w:rPr>
        <w:t>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t>
      </w:r>
    </w:p>
    <w:p>
      <w:r>
        <w:rPr>
          <w:color w:val="006432"/>
          <w:sz w:val="20"/>
          <w:u w:val="single"/>
        </w:rPr>
        <w:t>The PhysioNet and Cho2017/Lee2019 stages differ in montages, windows, references, filtering scope and source checkpoints. The earlier PhysioNet evaluation’s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t>
      </w:r>
    </w:p>
    <w:p>
      <w:r>
        <w:rPr>
          <w:color w:val="006432"/>
          <w:sz w:val="20"/>
          <w:u w:val="single"/>
        </w:rPr>
        <w:t>Fig 4 reports the earlier PhysioNet evaluation separately.</w:t>
      </w:r>
    </w:p>
    <w:p>
      <w:r>
        <w:rPr>
          <w:strike/>
          <w:color w:val="960000"/>
          <w:sz w:val="20"/>
        </w:rPr>
        <w:t>The corresponding saved summary is presented in Table 6.</w:t>
      </w:r>
    </w:p>
    <w:p>
      <w:r>
        <w:rPr>
          <w:strike/>
          <w:color w:val="960000"/>
          <w:sz w:val="20"/>
        </w:rPr>
        <w:t>**Table 6. Separate binary external evaluation (109 participants).**</w:t>
      </w:r>
    </w:p>
    <w:p>
      <w:r>
        <w:rPr>
          <w:strike/>
          <w:color w:val="960000"/>
          <w:sz w:val="20"/>
        </w:rPr>
        <w:t>| Frozen model | Mean BA (%) | Subject SD (pp) | Median BA (%) |</w:t>
      </w:r>
    </w:p>
    <w:p>
      <w:r>
        <w:rPr>
          <w:strike/>
          <w:color w:val="960000"/>
          <w:sz w:val="20"/>
        </w:rPr>
        <w:t>| --- | --- | --- | --- |</w:t>
      </w:r>
    </w:p>
    <w:p>
      <w:r>
        <w:rPr>
          <w:strike/>
          <w:color w:val="960000"/>
          <w:sz w:val="20"/>
        </w:rPr>
        <w:t>| Broad EEGNet | 61.81 | 12.56 | 58.23 |</w:t>
      </w:r>
    </w:p>
    <w:p>
      <w:r>
        <w:rPr>
          <w:strike/>
          <w:color w:val="960000"/>
          <w:sz w:val="20"/>
        </w:rPr>
        <w:t>| Shared mu/beta | 62.39 | 12.92 | 58.73 |</w:t>
      </w:r>
    </w:p>
    <w:p>
      <w:r>
        <w:rPr>
          <w:strike/>
          <w:color w:val="960000"/>
          <w:sz w:val="20"/>
        </w:rPr>
        <w:t>| CSP4 + LDA | 54.46 | 7.90 | 52.08 |</w:t>
      </w:r>
    </w:p>
    <w:p>
      <w:r>
        <w:rPr>
          <w:strike/>
          <w:color w:val="960000"/>
          <w:sz w:val="20"/>
        </w:rPr>
        <w:t>Deep-model scores are averaged over seeds within person. The primary shared-minus-broad contrast is +0.573 pp, 95% CI [−0.097,+1.242], p = 0.06446. CSP provides context and is outside the primary hypothesis. The Methods describe the sampling-rate amendment and versioned portability validation.</w:t>
      </w:r>
    </w:p>
    <w:p>
      <w:r>
        <w:rPr>
          <w:strike/>
          <w:color w:val="960000"/>
          <w:sz w:val="20"/>
        </w:rPr>
        <w:t>### Completed Cho2017 and Lee2019 transfer: lower balanced accuracy on Cho2017 and an uncertain Lee2019 contrast</w:t>
      </w:r>
    </w:p>
    <w:p>
      <w:r>
        <w:rPr>
          <w:strike/>
          <w:color w:val="960000"/>
          <w:sz w:val="20"/>
        </w:rPr>
        <w:t>The completed Q15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t>
      </w:r>
    </w:p>
    <w:p>
      <w:r>
        <w:rPr>
          <w:strike/>
          <w:color w:val="960000"/>
          <w:sz w:val="20"/>
        </w:rP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t>
      </w:r>
    </w:p>
    <w:p>
      <w:r>
        <w:rPr>
          <w:strike/>
          <w:color w:val="960000"/>
          <w:sz w:val="20"/>
        </w:rPr>
        <w:t>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t>
      </w:r>
    </w:p>
    <w:p>
      <w:r>
        <w:rPr>
          <w:strike/>
          <w:color w:val="960000"/>
          <w:sz w:val="20"/>
        </w:rPr>
        <w:t>The corresponding saved summary is presented in Table 7.</w:t>
      </w:r>
    </w:p>
    <w:p>
      <w:r>
        <w:rPr>
          <w:strike/>
          <w:color w:val="960000"/>
          <w:sz w:val="20"/>
        </w:rPr>
        <w:t>**Table 7. New external binary evaluation under the Q15 freeze.**</w:t>
      </w:r>
    </w:p>
    <w:p>
      <w:r>
        <w:rPr>
          <w:strike/>
          <w:color w:val="960000"/>
          <w:sz w:val="20"/>
        </w:rPr>
        <w:t>| Cohort / model | BA (%) | Person SD (pp) | Left recall (%) | Right recall (%) |</w:t>
      </w:r>
    </w:p>
    <w:p>
      <w:r>
        <w:rPr>
          <w:strike/>
          <w:color w:val="960000"/>
          <w:sz w:val="20"/>
        </w:rPr>
        <w:t>| --- | --- | --- | --- | --- |</w:t>
      </w:r>
    </w:p>
    <w:p>
      <w:r>
        <w:rPr>
          <w:strike/>
          <w:color w:val="960000"/>
          <w:sz w:val="20"/>
        </w:rPr>
        <w:t>| Cho2017 / Broad EEGNet | 59.82 | 8.64 | 46.79 | 72.86 |</w:t>
      </w:r>
    </w:p>
    <w:p>
      <w:r>
        <w:rPr>
          <w:strike/>
          <w:color w:val="960000"/>
          <w:sz w:val="20"/>
        </w:rPr>
        <w:t>| Cho2017 / Shared mu/beta | 58.31 | 7.22 | 37.52 | 79.10 |</w:t>
      </w:r>
    </w:p>
    <w:p>
      <w:r>
        <w:rPr>
          <w:strike/>
          <w:color w:val="960000"/>
          <w:sz w:val="20"/>
        </w:rPr>
        <w:t>| Cho2017 / CSP4 + LDA | 51.99 | 5.67 | 94.10 | 9.88 |</w:t>
      </w:r>
    </w:p>
    <w:p>
      <w:r>
        <w:rPr>
          <w:strike/>
          <w:color w:val="960000"/>
          <w:sz w:val="20"/>
        </w:rPr>
        <w:t>| Lee2019 / Broad EEGNet | 65.51 | 10.97 | 75.56 | 55.46 |</w:t>
      </w:r>
    </w:p>
    <w:p>
      <w:r>
        <w:rPr>
          <w:strike/>
          <w:color w:val="960000"/>
          <w:sz w:val="20"/>
        </w:rPr>
        <w:t>| Lee2019 / Shared mu/beta | 65.72 | 10.76 | 72.69 | 58.75 |</w:t>
      </w:r>
    </w:p>
    <w:p>
      <w:r>
        <w:rPr>
          <w:strike/>
          <w:color w:val="960000"/>
          <w:sz w:val="20"/>
        </w:rPr>
        <w:t>| Lee2019 / CSP4 + LDA | 52.77 | 5.57 | 85.98 | 19.56 |</w:t>
      </w:r>
    </w:p>
    <w:p>
      <w:r>
        <w:rPr>
          <w:strike/>
          <w:color w:val="960000"/>
          <w:sz w:val="20"/>
        </w:rPr>
        <w:t>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t>
      </w:r>
    </w:p>
    <w:p>
      <w:r>
        <w:rPr>
          <w:strike/>
          <w:color w:val="960000"/>
          <w:sz w:val="20"/>
        </w:rPr>
        <w:t>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w:t>
      </w:r>
    </w:p>
    <w:p>
      <w:r>
        <w:rPr>
          <w:strike/>
          <w:color w:val="960000"/>
          <w:sz w:val="20"/>
        </w:rPr>
        <w:t>The corresponding saved summary is presented in Fig 5.</w:t>
      </w:r>
    </w:p>
    <w:p>
      <w:r>
        <w:rPr>
          <w:strike/>
          <w:color w:val="960000"/>
          <w:sz w:val="20"/>
        </w:rPr>
        <w:t>Fig 5. Frozen external evaluation on Cho2017 and Lee2019. Frozen Q15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Q14, and no pooled cross-cohort test was specified.</w:t>
      </w:r>
    </w:p>
    <w:p>
      <w:r>
        <w:rPr>
          <w:strike/>
          <w:color w:val="960000"/>
          <w:sz w:val="20"/>
        </w:rPr>
        <w:t>### Descriptive BNCI Sensor Physiology and Decoder Associations (Q16)</w:t>
      </w:r>
    </w:p>
    <w:p>
      <w:r>
        <w:rPr>
          <w:strike/>
          <w:color w:val="960000"/>
          <w:sz w:val="20"/>
        </w:rPr>
        <w:t>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t>
      </w:r>
    </w:p>
    <w:p>
      <w:r>
        <w:rPr>
          <w:strike/>
          <w:color w:val="960000"/>
          <w:sz w:val="20"/>
        </w:rPr>
        <w:t>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w:t>
      </w:r>
    </w:p>
    <w:p>
      <w:r>
        <w:rPr>
          <w:strike/>
          <w:color w:val="960000"/>
          <w:sz w:val="20"/>
        </w:rPr>
        <w:t>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t>
      </w:r>
    </w:p>
    <w:p>
      <w:r>
        <w:rPr>
          <w:strike/>
          <w:color w:val="960000"/>
          <w:sz w:val="20"/>
        </w:rPr>
        <w:t>**Table 8. Baseline-relative hand power and signed C3/C4 laterality.**</w:t>
      </w:r>
    </w:p>
    <w:p>
      <w:r>
        <w:rPr>
          <w:strike/>
          <w:color w:val="960000"/>
          <w:sz w:val="20"/>
        </w:rPr>
        <w:t>| Band | Contra. mean (dB) | Ipsi. mean (dB) | Mean L (dB) | Person L range (dB) | L signs (−/+) |</w:t>
      </w:r>
    </w:p>
    <w:p>
      <w:r>
        <w:rPr>
          <w:strike/>
          <w:color w:val="960000"/>
          <w:sz w:val="20"/>
        </w:rPr>
        <w:t>| --- | --- | --- | --- | --- | --- |</w:t>
      </w:r>
    </w:p>
    <w:p>
      <w:r>
        <w:rPr>
          <w:strike/>
          <w:color w:val="960000"/>
          <w:sz w:val="20"/>
        </w:rPr>
        <w:t>| Mu, 8–13 Hz | −0.308 | −0.058 | −0.250 | −1.432 to +0.336 | 6 / 3 |</w:t>
      </w:r>
    </w:p>
    <w:p>
      <w:r>
        <w:rPr>
          <w:strike/>
          <w:color w:val="960000"/>
          <w:sz w:val="20"/>
        </w:rPr>
        <w:t>| Beta, 13–30 Hz | −0.439 | −0.272 | −0.168 | −0.519 to +0.133 | 8 / 1 |</w:t>
      </w:r>
    </w:p>
    <w:p>
      <w:r>
        <w:rPr>
          <w:strike/>
          <w:color w:val="960000"/>
          <w:sz w:val="20"/>
        </w:rPr>
        <w:t>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t>
      </w:r>
    </w:p>
    <w:p>
      <w:r>
        <w:rPr>
          <w:strike/>
          <w:color w:val="960000"/>
          <w:sz w:val="20"/>
        </w:rPr>
        <w:t>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t>
      </w:r>
    </w:p>
    <w:p>
      <w:r>
        <w:rPr>
          <w:strike/>
          <w:color w:val="960000"/>
          <w:sz w:val="20"/>
        </w:rPr>
        <w:t>## Discussion</w:t>
      </w:r>
    </w:p>
    <w:p>
      <w:r>
        <w:rPr>
          <w:strike/>
          <w:color w:val="960000"/>
          <w:sz w:val="20"/>
        </w:rPr>
        <w:t>### Training-duration Sensitivity in a Small Development Benchmark</w:t>
      </w:r>
    </w:p>
    <w:p>
      <w:r>
        <w:rPr>
          <w:strike/>
          <w:color w:val="960000"/>
          <w:sz w:val="20"/>
        </w:rPr>
        <w:t>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w:t>
      </w:r>
    </w:p>
    <w:p>
      <w:r>
        <w:rPr>
          <w:strike/>
          <w:color w:val="960000"/>
          <w:sz w:val="20"/>
        </w:rPr>
        <w:t>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t>
      </w:r>
    </w:p>
    <w:p>
      <w:r>
        <w:rPr>
          <w:strike/>
          <w:color w:val="960000"/>
          <w:sz w:val="20"/>
        </w:rPr>
        <w:t>### Complete Spectral Pipelines Have Cohort-dependent Outcomes</w:t>
      </w:r>
    </w:p>
    <w:p>
      <w:r>
        <w:rPr>
          <w:strike/>
          <w:color w:val="960000"/>
          <w:sz w:val="20"/>
        </w:rPr>
        <w:t>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t>
      </w:r>
    </w:p>
    <w:p>
      <w:r>
        <w:rPr>
          <w:strike/>
          <w:color w:val="960000"/>
          <w:sz w:val="20"/>
        </w:rPr>
        <w:t>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t>
      </w:r>
    </w:p>
    <w:p>
      <w:r>
        <w:rPr>
          <w:strike/>
          <w:color w:val="960000"/>
          <w:sz w:val="20"/>
        </w:rPr>
        <w:t>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Q15. Performance above this contextual comparator does not establish practical or clinical reliability. Contemporary adaptation and foundation-model methods were not compared under a common budget, so the results support no state-of-the-art claim.</w:t>
      </w:r>
    </w:p>
    <w:p>
      <w:r>
        <w:rPr>
          <w:strike/>
          <w:color w:val="960000"/>
          <w:sz w:val="20"/>
        </w:rPr>
        <w:t>The external schedules are part of the pipeline contrast: broad/shared fits used 18/17 epochs in Q14 and 14/19 in Q15. Paired differences therefore combine the selected training durations, input views and shared normalization. They do not identify the causal contribution of parameter sharing alone.</w:t>
      </w:r>
    </w:p>
    <w:p>
      <w:r>
        <w:rPr>
          <w:strike/>
          <w:color w:val="960000"/>
          <w:sz w:val="20"/>
        </w:rPr>
        <w:t>### Person-level Evidence and Descriptive Signal Characterization</w:t>
      </w:r>
    </w:p>
    <w:p>
      <w:r>
        <w:rPr>
          <w:strike/>
          <w:color w:val="960000"/>
          <w:sz w:val="20"/>
        </w:rPr>
        <w:t>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t>
      </w:r>
    </w:p>
    <w:p>
      <w:r>
        <w:rPr>
          <w:strike/>
          <w:color w:val="960000"/>
          <w:sz w:val="20"/>
        </w:rPr>
        <w:t>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Q15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t>
      </w:r>
    </w:p>
    <w:p>
      <w:r>
        <w:rPr>
          <w:strike/>
          <w:color w:val="960000"/>
          <w:sz w:val="20"/>
        </w:rPr>
        <w:t>The BNCI signals describe measured sensor activity,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t>
      </w:r>
    </w:p>
    <w:p>
      <w:r>
        <w:rPr>
          <w:strike/>
          <w:color w:val="960000"/>
          <w:sz w:val="20"/>
        </w:rPr>
        <w:t>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t>
      </w:r>
    </w:p>
    <w:p>
      <w:r>
        <w:rPr>
          <w:strike/>
          <w:color w:val="960000"/>
          <w:sz w:val="20"/>
        </w:rPr>
        <w:t>### Limitations</w:t>
      </w:r>
    </w:p>
    <w:p>
      <w:r>
        <w:rPr>
          <w:strike/>
          <w:color w:val="960000"/>
          <w:sz w:val="20"/>
        </w:rPr>
        <w:t>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t>
      </w:r>
    </w:p>
    <w:p>
      <w:r>
        <w:rPr>
          <w:strike/>
          <w:color w:val="960000"/>
          <w:sz w:val="20"/>
        </w:rPr>
        <w:t>Q14 and Q15 differ in montages, windows, references, filtering scope and source checkpoints. Q14’s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t>
      </w:r>
    </w:p>
    <w:p>
      <w:r>
        <w:rPr>
          <w:strike/>
          <w:color w:val="960000"/>
          <w:sz w:val="20"/>
        </w:rPr>
        <w:t>Q15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t>
      </w:r>
    </w:p>
    <w:p>
      <w:r>
        <w:rPr>
          <w:color w:val="006432"/>
          <w:sz w:val="20"/>
          <w:u w:val="single"/>
        </w:rPr>
        <w:t>The Cho2017/Lee2019 study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t>
      </w:r>
    </w:p>
    <w:p>
      <w:r>
        <w:rPr>
          <w:strike/>
          <w:color w:val="960000"/>
          <w:sz w:val="20"/>
        </w:rPr>
        <w:t>Q14 and Q15 also differ in the extent of verification. The earlier PhysioNet evaluation required a sampling-rate amendment after partial execution; its later portability check examined saved outputs without replaying inference. Q15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t>
      </w:r>
    </w:p>
    <w:p>
      <w:r>
        <w:rPr>
          <w:color w:val="006432"/>
          <w:sz w:val="20"/>
          <w:u w:val="single"/>
        </w:rPr>
        <w:t>The two external stages also differ in the extent of verification. The earlier PhysioNet evaluation required a sampling-rate amendment after partial execution; its later portability check examined saved outputs without replaying inference. The Cho2017/Lee2019 study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t>
      </w:r>
    </w:p>
    <w:p>
      <w:r>
        <w:rPr>
          <w:strike/>
          <w:color w:val="960000"/>
          <w:sz w:val="20"/>
        </w:rPr>
        <w:t>Evaluation was offline and used zero-phase filtering. Online latency, prospective assistive control, clinical populations and patient benefit were not tested. The two-second Q15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t>
      </w:r>
    </w:p>
    <w:p>
      <w:r>
        <w:rPr>
          <w:color w:val="006432"/>
          <w:sz w:val="20"/>
          <w:u w:val="single"/>
        </w:rPr>
        <w:t>Evaluation was offline and used zero-phase filtering. Online latency, prospective assistive control, clinical populations and patient benefit were not tested. The two-second Cho2017/Lee2019 transfer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t>
      </w:r>
    </w:p>
    <w:p>
      <w:r>
        <w:rPr>
          <w:strike/>
          <w:color w:val="960000"/>
          <w:sz w:val="20"/>
        </w:rPr>
        <w:t>Training-duration selection was consequential in this nine-person BNCI development benchmark, but its gains were concentrated rather than broadly shared. Fixed shared-input pipelines showed no consistent external advantage: balanced accuracy was 1.513 pp lower than broad EEGNet on Cho2017, and the Lee2019 estimate remained compatible with small effects in either direction. Unequal source-selected durations are part of these complete-pipeline comparisons, which do not isolate parameter sharing. The post-outcome BNCI sensor analysis found negative mean signed hand laterality in mu and beta with substantial participant variation; it established neither a decoder mechanism nor external physiological replication. Unknown acquisition calibration and offline evaluation limit deployment conclusions.</w:t>
      </w:r>
    </w:p>
    <w:p>
      <w:r>
        <w:rPr>
          <w:color w:val="006432"/>
          <w:sz w:val="20"/>
          <w:u w:val="single"/>
        </w:rPr>
        <w:t>Training-duration selection was consequential in this nine-person BNCI development benchmark, but its gains were concentrated rather than broadly shared. Complete fixed shared-input pipelines showed no consistent external advantage. The Cho2017 shared-input pipeline had 1.513-pp lower balanced accuracy than broad EEGNet under its 19-versus-14-epoch source-selected schedule; Lee2019 remained compatible with small effects in either direction. These comparisons do not isolate spectral sharing. Archived CSP predictions document strong class asymmetry but do not identify its cause. The post-outcome BNCI sensor analysis found negative mean signed hand laterality with participant variation; it establishes neither a decoder mechanism nor external physiological replication. Acquisition uncertainty and offline evaluation limit deployment conclusions.</w:t>
      </w:r>
    </w:p>
    <w:p>
      <w:r>
        <w:rPr>
          <w:color w:val="006432"/>
          <w:sz w:val="20"/>
          <w:u w:val="single"/>
        </w:rPr>
        <w:t>23. Roots K, Muhammad Y, Muhammad N. Fusion Convolutional Neural Network for Cross-Subject EEG Motor Imagery Classification. Computers. 2020;9(3):72. doi:10.3390/computers9030072</w:t>
      </w:r>
    </w:p>
    <w:p>
      <w:r>
        <w:rPr>
          <w:color w:val="006432"/>
          <w:sz w:val="20"/>
          <w:u w:val="single"/>
        </w:rPr>
        <w:t>24. Luo J, Li J, Mao Q, Shi Z, Liu H, Ren X, et al. Overlapping filter bank convolutional neural network for multisubject multicategory motor imagery brain-computer interface. BioData Min. 2023;16(1):19. doi:10.1186/s13040-023-00336-y</w:t>
      </w:r>
    </w:p>
    <w:p>
      <w:r>
        <w:rPr>
          <w:color w:val="006432"/>
          <w:sz w:val="20"/>
          <w:u w:val="single"/>
        </w:rPr>
        <w:t>25. Smedemark-Margulies N, Wang Y, Koike-Akino T, Liu J, Parsons K, Bicer Y, et al. Improving subject transfer in EEG classification with divergence estimation. J Neural Eng. 2024;21(6):066031. doi:10.1088/1741-2552/ad9777</w:t>
      </w:r>
    </w:p>
    <w:p>
      <w:r>
        <w:rPr>
          <w:color w:val="006432"/>
          <w:sz w:val="20"/>
          <w:u w:val="single"/>
        </w:rPr>
        <w:t>26. Zhang K, Robinson N, Lee SW, Guan C. Adaptive transfer learning for EEG motor imagery classification with deep Convolutional Neural Network. Neural Netw. 2021;136:1-10. doi:10.1016/j.neunet.2020.12.013</w:t>
      </w:r>
    </w:p>
    <w:p>
      <w:r>
        <w:rPr>
          <w:color w:val="006432"/>
          <w:sz w:val="20"/>
          <w:u w:val="single"/>
        </w:rPr>
        <w:t>27. Wei X, Faisal AA, Grosse-Wentrup M, Gramfort A, Chevallier S, Jayaram V, et al. 2021 BEETL Competition: Advancing Transfer Learning for Subject Independence and Heterogenous EEG Data Sets. Proc Mach Learn Res. 2022;176:205–219. Available from: https://proceedings.mlr.press/v176/wei22a.html [cited 2026 Oct 10].</w:t>
      </w:r>
    </w:p>
    <w:p>
      <w:r>
        <w:rPr>
          <w:color w:val="006432"/>
          <w:sz w:val="20"/>
          <w:u w:val="single"/>
        </w:rPr>
        <w:t>28. Cao D, Yu Z, Wang J, Wu Y. SMMTM: Motor imagery EEG decoding algorithm using a hybrid multi-branch separable convolutional self-attention temporal convolutional network. PLOS ONE. 2025;20(10):e0333805. doi:10.1371/journal.pone.0333805</w:t>
      </w:r>
    </w:p>
    <w:p>
      <w:r>
        <w:rPr>
          <w:color w:val="006432"/>
          <w:sz w:val="20"/>
          <w:u w:val="single"/>
        </w:rPr>
        <w:t>29. Zhao Y, He D, Ren F, Xia Q, Xu L, Xie G, et al. RMETNet: A cross-subject motor imagery EEG signal classification model based on TSLANet and riemannian geometry features. PLOS ONE. 2026;21(4):e0347671. doi:10.1371/journal.pone.0347671</w:t>
      </w:r>
    </w:p>
    <w:p>
      <w:r>
        <w:rPr>
          <w:color w:val="006432"/>
          <w:sz w:val="20"/>
          <w:u w:val="single"/>
        </w:rPr>
        <w:t>30. Sonntag J, Yu L, Wang X, Schack T. Neurophysiological predictors of deep learning based unilateral upper limb motor imagery classification. Front Hum Neurosci. 2025;19:1617748. doi:10.3389/fnhum.2025.1617748</w:t>
      </w:r>
    </w:p>
    <w:p>
      <w:r>
        <w:rPr>
          <w:strike/>
          <w:color w:val="960000"/>
          <w:sz w:val="20"/>
        </w:rPr>
        <w:t>23.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rPr>
          <w:color w:val="006432"/>
          <w:sz w:val="20"/>
          <w:u w:val="single"/>
        </w:rPr>
        <w:t>31.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rPr>
          <w:strike/>
          <w:color w:val="960000"/>
          <w:sz w:val="20"/>
        </w:rPr>
        <w:t>24. Efron B. Bootstrap Methods: Another Look at the Jackknife. Ann Stat. 1979;7(1). doi:10.1214/aos/1176344552</w:t>
      </w:r>
    </w:p>
    <w:p>
      <w:r>
        <w:rPr>
          <w:color w:val="006432"/>
          <w:sz w:val="20"/>
          <w:u w:val="single"/>
        </w:rPr>
        <w:t>32. Efron B. Bootstrap Methods: Another Look at the Jackknife. Ann Stat. 1979;7(1). doi:10.1214/aos/1176344552</w:t>
      </w:r>
    </w:p>
    <w:p>
      <w:r>
        <w:rPr>
          <w:strike/>
          <w:color w:val="960000"/>
          <w:sz w:val="20"/>
        </w:rPr>
        <w:t>25. Winkler AM, Ridgway GR, Webster MA, Smith SM, Nichols TE. Permutation inference for the general linear model. Neuroimage. 2014;92:381-397. doi:10.1016/j.neuroimage.2014.01.060</w:t>
      </w:r>
    </w:p>
    <w:p>
      <w:r>
        <w:rPr>
          <w:color w:val="006432"/>
          <w:sz w:val="20"/>
          <w:u w:val="single"/>
        </w:rPr>
        <w:t>33. Winkler AM, Ridgway GR, Webster MA, Smith SM, Nichols TE. Permutation inference for the general linear model. Neuroimage. 2014;92:381-397. doi:10.1016/j.neuroimage.2014.01.060</w:t>
      </w:r>
    </w:p>
    <w:p>
      <w:r>
        <w:rPr>
          <w:strike/>
          <w:color w:val="960000"/>
          <w:sz w:val="20"/>
        </w:rPr>
        <w:t>26. Holm S. A Simple Sequentially Rejective Multiple Test Procedure. Scand J Stat. 1979;6(2):65–70. Available from: https://www.jstor.org/stable/4615733 [cited 2026 Oct 8].</w:t>
      </w:r>
    </w:p>
    <w:p>
      <w:r>
        <w:rPr>
          <w:color w:val="006432"/>
          <w:sz w:val="20"/>
          <w:u w:val="single"/>
        </w:rPr>
        <w:t>34. Holm S. A Simple Sequentially Rejective Multiple Test Procedure. Scand J Stat. 1979;6(2):65–70. Available from: https://www.jstor.org/stable/4615733 [cited 2026 Oct 8].</w:t>
      </w:r>
    </w:p>
    <w:p>
      <w:r>
        <w:rPr>
          <w:strike/>
          <w:color w:val="960000"/>
          <w:sz w:val="20"/>
        </w:rPr>
        <w:t>27. Goldberger AL, Amaral LAN, Glass L, Hausdorff JM, Ivanov PC, Mark RG, et al. PhysioBank, PhysioToolkit, and PhysioNet: Components of a New Research Resource for Complex Physiologic Signals. Circulation. 2000;101(23). doi:10.1161/01.CIR.101.23.e215</w:t>
      </w:r>
    </w:p>
    <w:p>
      <w:r>
        <w:rPr>
          <w:color w:val="006432"/>
          <w:sz w:val="20"/>
          <w:u w:val="single"/>
        </w:rPr>
        <w:t>35. Goldberger AL, Amaral LAN, Glass L, Hausdorff JM, Ivanov PC, Mark RG, et al. PhysioBank, PhysioToolkit, and PhysioNet: Components of a New Research Resource for Complex Physiologic Signals. Circulation. 2000;101(23). doi:10.1161/01.CIR.101.23.e215</w:t>
      </w:r>
    </w:p>
    <w:p>
      <w:r>
        <w:rPr>
          <w:strike/>
          <w:color w:val="960000"/>
          <w:sz w:val="20"/>
        </w:rPr>
        <w:t>28. Pollard T, Moody BE, Lehman LwH, Gow BJ, Fernandes C, Xie C, et al. PhysioNet as a global platform for biomedical research. Nat Health. 2026;1(8):792-795. doi:10.1038/s44360-026-00096-z</w:t>
      </w:r>
    </w:p>
    <w:p>
      <w:r>
        <w:rPr>
          <w:color w:val="006432"/>
          <w:sz w:val="20"/>
          <w:u w:val="single"/>
        </w:rPr>
        <w:t>36. Pollard T, Moody BE, Lehman LwH, Gow BJ, Fernandes C, Xie C, et al. PhysioNet as a global platform for biomedical research. Nat Health. 2026;1(8):792-795. doi:10.1038/s44360-026-00096-z</w:t>
      </w:r>
    </w:p>
    <w:p>
      <w:r>
        <w:rPr>
          <w:strike/>
          <w:color w:val="960000"/>
          <w:sz w:val="20"/>
        </w:rPr>
        <w:t>S1 Appendix. Supplementary results and detailed reproducible methods.</w:t>
      </w:r>
    </w:p>
    <w:p>
      <w:r>
        <w:rPr>
          <w:color w:val="006432"/>
          <w:sz w:val="20"/>
          <w:u w:val="single"/>
        </w:rPr>
        <w:t>S1 Appendix. Supplementary results, detailed methods and post-submission diagnostic context.</w:t>
      </w:r>
    </w:p>
    <w:p>
      <w:r>
        <w:rPr>
          <w:strike/>
          <w:color w:val="960000"/>
          <w:sz w:val="20"/>
        </w:rPr>
        <w:t>S1 Data. Frozen derived data and validation evidence.</w:t>
      </w:r>
    </w:p>
    <w:p>
      <w:r>
        <w:rPr>
          <w:color w:val="006432"/>
          <w:sz w:val="20"/>
          <w:u w:val="single"/>
        </w:rPr>
        <w:t>S1 Data. Frozen derived outputs with separately identified archived-output diagnostic additions.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