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Source-cohort expansion and class coverage in motor-imagery EEG</w:t>
      </w:r>
    </w:p>
    <w:p>
      <w:r>
        <w:br w:type="page"/>
      </w:r>
    </w:p>
    <w:p>
      <w:pPr>
        <w:pStyle w:val="Heading1"/>
      </w:pPr>
      <w:r>
        <w:rPr/>
        <w:t>Abstract</w:t>
      </w:r>
    </w:p>
    <w:p>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p>
    <w:p>
      <w:pPr>
        <w:pStyle w:val="Heading1"/>
      </w:pPr>
      <w:r>
        <w:rPr/>
        <w:t>Introduction</w:t>
      </w:r>
    </w:p>
    <w:p>
      <w:r>
        <w:rPr/>
        <w:t>Cross-subject motor-imagery EEG decoding must recognize both hand commands reliably, yet balanced accuracy can obscure poor recall for one command. The composition of the source acquisition population may therefore matter as much as the average accuracy used to summarize an external test cohort [1,2]. We evaluated adding Yang recordings to a BNCI source pool and found a 21.17-percentage-point improvement in weaker-class recall and a 5.85-point improvement in balanced accuracy in the primary exploratory Dreyer comparison. Weaker-class recall improved in 72 of 85 participants, and the mean left–right recall gap nearly halved.</w:t>
      </w:r>
    </w:p>
    <w:p>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protocol was used across recording systems. The comparisons quantify the effect of the evaluated source configurations; cohort membership, trial availability and dataset sampling mass were not varied independently.</w:t>
      </w:r>
    </w:p>
    <w:p>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p>
    <w:p>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r>
        <w:rPr/>
        <w:t>External evaluation used the first two acquisition runs of the Dreyer dataset [15–17]. Of 87 provider-listed participants, identifiers 17 and 41 were excluded under the predefined electrode-order eligibility criterion, leaving 85 participants and 6,800 trials. Each participant supplied 80 trials, with 40 observations per hand class. The acquisition programme's A/B/C origin strata were retained as provider identities within one external dataset. Dreyer outcomes were interpreted as exploratory because independence from earlier project-level model exposure could not be confirmed. Checkpoints and model choices were based on source-validation data rather than these external test labels.</w:t>
      </w:r>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Yang eligibility retained events with explicit native class codes 1 or 2 and valid observed onsets,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marker-relative context [0,6) s and crop [2,4) s, which corresponds arithmetically to [0.5,2.5) s after the 1.5-s computational anchor. The original events were not shifted; this coordinate convention does not establish exact physiological-phase equivalence across acquisition paradigms. Dreyer's crop extends beyond the 1.25-s cue presentation into the provider-described visual-feedback interval, so the evaluation uses motor-imagery task EEG that may also contain feedback-related activity.</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fixed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archived processing implementation.</w:t>
      </w:r>
    </w:p>
    <w:p>
      <w:r>
        <w:t>Let z(v,c,t) be the cropped, temporally centered value for view v, channel c and time sample t. For C channels and T crop samples, the trial scale was s = √[(1/(CT)) ∑_{c=1}^{C} ∑_{t=1}^{T} z(broad,c,t)²], and each view was represented as x(v,c,t) = 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contained the literal unit string ?V, which was not interpreted as an unambiguous µV designation; audited numerical calibration retained the recorded native convention.</w:t>
      </w:r>
    </w:p>
    <w:p>
      <w:pPr>
        <w:pStyle w:val="Heading2"/>
      </w:pPr>
      <w:r>
        <w:rPr/>
        <w:t>Decoder pipelines and training budget</w:t>
      </w:r>
    </w:p>
    <w:p>
      <w:r>
        <w:rPr/>
        <w:t>Both neural pipelines used the EEGNet implementation in Braindecode 1.5.1 [10,18], with F1=8, depth multiplier D=2, F2=16, kernel length 64 and dropout 0.25. The broadband pipeline (BROAD) used the 8–30 Hz view. The shared mu/beta pipeline (MU_BETA_SHARED) passed the two band views through one common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An 8,192-draw sample with replacement approximated equal cohort, class and participant weights for LDA. This is a stochastic approximation rather than an exact weighted LDA solution; draws can repeat some trials and omit others.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specified absolute tolerance of 10⁻¹² used highest mean balanced accuracy and then earliest epoch; mean-rank ties used the earliest minimum. S1 Appendix specifies each rule and reports every selected epoch.</w:t>
      </w:r>
    </w:p>
    <w:p>
      <w:r>
        <w:rPr/>
        <w:t>Source-held-out validation determined checkpoint selection. External recordings used the fixed per-trial transform and evaluation-mode inference without BatchNorm updates. Event/class metadata defined eligibility and mapping; ground-truth outcomes were used for scoring, not for choosing epochs, thresholds, fitted normalization or hyperparameters. The archived validation and prediction records document this procedure; earlier project-level external exposure remains a separate qualification.</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p>
    <w:p>
      <w:r>
        <w:rPr/>
        <w:t>Four supplementary post hoc contrasts evaluated the following: S29−S9 under BROAD/tail-recall on weaker-class recall and balanced accuracy, and S60−S9 under fixed CSP–LDA on the same two endpoints. These exploratory comparisons were defined after inspection of the original outcomes.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We also report a descriptive algebraic decomposition.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Additional post hoc analyses reconstructed joint improvement in B and W, participant changes in recall gap, and label-specific recalls from the saved neural and conventional prediction tables. The descriptive results cover all 34 source-expansion-by-pipeline-by-selector comparisons against S9, including adverse outcomes, without additional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p>
    <w:p>
      <w:pPr>
        <w:pStyle w:val="Heading2"/>
      </w:pPr>
      <w:r>
        <w:rPr/>
        <w:t>Research ethics and access scope</w:t>
      </w:r>
    </w:p>
    <w:p>
      <w:r>
        <w:t>This study involved secondary analysis of publicly available EEG datasets (BNCI2014-001, Yang, and Dreyer). No new participants were recruited, and no interventions or additional data collection were conducted. The analysis used publicly released coded research data without access to directly identifying participant information or identity-linkage keys.</w:t>
        <w:br/>
        <w:br/>
        <w:t>According to Article 32(1) of the 2023 Measures for the Ethical Review of Life Science and Medical Research Involving Human Participants issued by the National Health Commission of China, research using lawfully obtained publicly available data may be exempt from ethics review when the applicable conditions are satisfied. On this basis, no additional ethics review was sought for the present secondary analysis.</w:t>
        <w:br/>
        <w:br/>
        <w:t>The ethical approvals and informed-consent procedures for the original data collection are described in the respective dataset publications [12–17]. No institutional ethics approval or exemption certificate is claimed for this secondary analysis.</w:t>
      </w:r>
    </w:p>
    <w:p>
      <w:pPr>
        <w:pStyle w:val="Heading2"/>
      </w:pPr>
      <w:r>
        <w:rPr/>
        <w:t>Evidence and reproducibility</w:t>
      </w:r>
    </w:p>
    <w:p>
      <w:r>
        <w:rPr/>
        <w:t>The executed configuration, source registry, selected epochs, code identities and scripted verification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archived outputs. Fig 1 summarizes the design and evidence flow.</w:t>
      </w:r>
    </w:p>
    <w:p>
      <w:r>
        <w:rPr>
          <w:b/>
        </w:rPr>
        <w:t>Fig 1. Source-expansion design and evidence flow.</w:t>
      </w:r>
      <w:r>
        <w:rPr/>
        <w:t xml:space="preserve"> </w:t>
      </w:r>
      <w:r>
        <w:rPr>
          <w:b/>
        </w:rPr>
        <w:t>A</w:t>
      </w:r>
      <w:r>
        <w:rPr/>
        <w:t xml:space="preserve">, Nested S9/S29/S60 source pools contain 9/29/60 participants and 2,592/14,590/33,183 eligible trials. </w:t>
      </w:r>
      <w:r>
        <w:rPr>
          <w:b/>
        </w:rPr>
        <w:t>B</w:t>
      </w:r>
      <w:r>
        <w:rPr/>
        <w:t xml:space="preserve">, One 18-channel, trial-wise dimensionless transform supplies the spectral inputs. </w:t>
      </w:r>
      <w:r>
        <w:rPr>
          <w:b/>
        </w:rPr>
        <w:t>C–D</w:t>
      </w:r>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r>
        <w:rPr>
          <w:b/>
        </w:rPr>
        <w:t>E</w:t>
      </w:r>
      <w:r>
        <w:rPr/>
        <w:t xml:space="preserve">, External scoring uses 85 Dreyer participants and 6,800 trials. </w:t>
      </w:r>
      <w:r>
        <w:rPr>
          <w:b/>
        </w:rPr>
        <w:t>F</w:t>
      </w:r>
      <w:r>
        <w:rPr/>
        <w:t xml:space="preserve">, Archived checks link input identities, source selections and prediction statistics. Source data: </w:t>
      </w:r>
      <w:r>
        <w:rPr>
          <w:rFonts w:ascii="DejaVu Sans Mono" w:hAnsi="DejaVu Sans Mono"/>
          <w:sz w:val="20"/>
        </w:rPr>
        <w:t>figure_data/Fig1_source_configurations.csv</w:t>
      </w:r>
      <w:r>
        <w:rPr/>
        <w:t>; audit scope: S1 Appendix.</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numerical tables; the class-recall-gap panel is identified as a descriptive algebraic decomposition. The author is responsible for verification and final approval.</w:t>
      </w:r>
    </w:p>
    <w:p>
      <w:pPr>
        <w:pStyle w:val="Heading1"/>
      </w:pPr>
      <w:r>
        <w:rPr/>
        <w:t>Results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&lt;0.001</w:t>
            </w:r>
          </w:p>
        </w:tc>
      </w:tr>
    </w:tbl>
    <w:p/>
    <w:p>
      <w:r>
        <w:rPr/>
        <w:t>Fig 2 displays the complete set of frozen primary and secondary comparisons.</w:t>
      </w:r>
    </w:p>
    <w:p>
      <w:r>
        <w:rPr>
          <w:b/>
        </w:rPr>
        <w:t>Fig 2. All four prespecified participant-paired contrasts.</w:t>
      </w:r>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r>
        <w:rPr>
          <w:rFonts w:ascii="DejaVu Sans Mono" w:hAnsi="DejaVu Sans Mono"/>
          <w:sz w:val="20"/>
        </w:rPr>
        <w:t>figure_data/neural_recomputed_comparisons.csv</w:t>
      </w:r>
      <w:r>
        <w:rPr/>
        <w:t>.</w:t>
      </w:r>
    </w:p>
    <w:p>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p>
    <w:p>
      <w:r>
        <w:rPr>
          <w:b/>
        </w:rPr>
        <w:t>Fig 3. Participant-level improvement in weaker-class recall.</w:t>
      </w:r>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r>
        <w:rPr>
          <w:rFonts w:ascii="DejaVu Sans Mono" w:hAnsi="DejaVu Sans Mono"/>
          <w:sz w:val="20"/>
        </w:rPr>
        <w:t>figure_data/Fig3_primary_participant_changes.csv</w:t>
      </w:r>
      <w:r>
        <w:rPr/>
        <w:t>. Joint changes in both endpoints are provided in S4 Data.</w:t>
      </w:r>
    </w:p>
    <w:p>
      <w:pPr>
        <w:pStyle w:val="Heading2"/>
      </w:pPr>
      <w:r>
        <w:rPr/>
        <w:t>Completed evaluation and checkpoint accounting</w:t>
      </w:r>
    </w:p>
    <w:p>
      <w:r>
        <w:rPr/>
        <w:t>Across the evaluated source levels, pipelines and source-only selection rules, 144 scored neural outputs reused checkpoints from 18 fitted final trajectories. Statistical comparisons treated the 85 external participants as paired observational units, not the number of checkpoints or saved prediction rows. Detailed execution and file accounting appear in S1 Appendix.</w:t>
      </w:r>
    </w:p>
    <w:p>
      <w:pPr>
        <w:pStyle w:val="Heading2"/>
      </w:pPr>
      <w:r>
        <w:rPr/>
        <w:t>Pipeline profiles and descriptive class-recall decomposition</w:t>
      </w:r>
    </w:p>
    <w:p>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At S60, CSP–LDA had 1.21 points higher mean balanced accuracy than broadband EEGNet, whereas broadband EEGNet had 0.67 points higher weaker-class recall; these untested between-decoder differences are descriptive.</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Fig 4 displays these endpoint profiles and the corresponding class-recall gap.</w:t>
      </w:r>
    </w:p>
    <w:p>
      <w:r>
        <w:rPr>
          <w:b/>
        </w:rPr>
        <w:t>Fig 4. Class coverage and balanced accuracy across source configurations.</w:t>
      </w:r>
      <w:r>
        <w:rPr/>
        <w:t xml:space="preserve"> </w:t>
      </w:r>
      <w:r>
        <w:rPr>
          <w:b/>
        </w:rPr>
        <w:t>A</w:t>
      </w:r>
      <w:r>
        <w:rPr/>
        <w:t xml:space="preserve">, Balanced accuracy; </w:t>
      </w:r>
      <w:r>
        <w:rPr>
          <w:b/>
        </w:rPr>
        <w:t>B</w:t>
      </w:r>
      <w:r>
        <w:rPr/>
        <w:t xml:space="preserve">, weaker-class recall; </w:t>
      </w:r>
      <w:r>
        <w:rPr>
          <w:b/>
        </w:rPr>
        <w:t>C</w:t>
      </w:r>
      <w:r>
        <w:rPr/>
        <w:t xml:space="preserve">, mean absolute class-recall gap. Neural rows use source-only tail-recall selection; CSP–LDA uses the fixed comparator configuration. A/B show participant means and pointwise 95% t intervals (n=85). C is the descriptive decomposition </w:t>
      </w:r>
      <w:r>
        <w:rPr>
          <w:rFonts w:ascii="DejaVu Sans Mono" w:hAnsi="DejaVu Sans Mono"/>
          <w:sz w:val="20"/>
        </w:rPr>
        <w:t>2 × (balanced accuracy − weaker-class recall)</w:t>
      </w:r>
      <w:r>
        <w:rPr/>
        <w:t xml:space="preserve">. For BROAD, the gap falls from 62.01 to 31.38 points, a 49.39% reduction.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r>
        <w:rPr/>
        <w:t>The full source-only epoch inventory is displayed in Fig 5.</w:t>
      </w:r>
    </w:p>
    <w:p>
      <w:r>
        <w:rPr>
          <w:b/>
        </w:rPr>
        <w:t>Fig 5. All 48 source-only checkpoint choices.</w:t>
      </w:r>
      <w: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figure_data/Fig5_selected_epochs.csv and the archived source-selection record.</w:t>
      </w:r>
    </w:p>
    <w:p>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p&lt;0.001). Balanced accuracy increased by +5.2451 points (95% t CI, 3.5345–6.9557). The conventional result extends the observed mixed-source benefit beyond the neural pipeline, without establishing superiority of either decoder family (Table 4).</w:t>
      </w:r>
    </w:p>
    <w:p>
      <w:r>
        <w:rPr>
          <w:b/>
        </w:rPr>
        <w:t>Table 4. Supplementary post hoc source-expansion comparisons.</w:t>
      </w:r>
      <w:r>
        <w:rPr/>
        <w:t xml:space="preserve"> All rows use 85 participant pairs and archived three-seed participant means. Confidence intervals are pointwise; the four p values form a separate Holm family. These post hoc analyses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&lt;0.001</w:t>
            </w:r>
          </w:p>
        </w:tc>
      </w:tr>
    </w:tbl>
    <w:p/>
    <w:p>
      <w:r>
        <w:rPr/>
        <w:t>Fig 6 displays the four supplementary paired comparisons.</w:t>
      </w:r>
    </w:p>
    <w:p>
      <w:r>
        <w:rPr>
          <w:b/>
        </w:rPr>
        <w:t>Fig 6. Supplementary post hoc source-expansion comparisons.</w:t>
      </w:r>
      <w:r>
        <w:t xml:space="preserve"> S29−S9 BROAD/tail-recall gains are 21.72 points for weaker-class recall and 5.79 points for balanced accuracy; corresponding S60−S9 CSP–LDA gains are 13.82 and 5.25 points. All four exploratory contrasts use the same 85 participants with three-seed within-participant averages. Bars are pointwise 95% t intervals; displayed p values use a separate four-test Holm family. Source data: figure_data/Fig6_review2_posthoc_comparisons.csv.</w:t>
      </w:r>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r>
        <w:rPr/>
        <w:t>All 24 seed-specific expansion-by-pipeline-by-endpoint differences were positive across the three final seeds (Fig 7). These are descriptive summaries within the same 85-person external cohort.</w:t>
      </w:r>
    </w:p>
    <w:p>
      <w:r>
        <w:rPr>
          <w:b/>
        </w:rPr>
        <w:t>Fig 7. Source-expansion gains at a common 20-epoch checkpoint.</w:t>
      </w:r>
      <w:r>
        <w:rPr/>
        <w:t xml:space="preserve"> </w:t>
      </w:r>
      <w:r>
        <w:rPr>
          <w:b/>
        </w:rPr>
        <w:t>A</w:t>
      </w:r>
      <w:r>
        <w:rPr/>
        <w:t xml:space="preserve">, Balanced accuracy; </w:t>
      </w:r>
      <w:r>
        <w:rPr>
          <w:b/>
        </w:rPr>
        <w:t>B</w:t>
      </w:r>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2"/>
      </w:pPr>
      <w:r>
        <w:rPr/>
        <w:t>Selection-rule sensitivity</w:t>
      </w:r>
    </w:p>
    <w:p>
      <w:r>
        <w:rPr/>
        <w:t>The complete source-only selection results include configurations with adverse external outcomes. Validation objectives selected markedly different epochs; Table 2 reports that tail-recall selection did not show a demonstrated advantage over mean-balanced-accuracy selection in the prespecified S60 broadband comparison.</w:t>
      </w:r>
    </w:p>
    <w:p>
      <w:r>
        <w:rPr/>
        <w:t>Automated numerical reconstruction, archive checks and their precise scope are documented in S1 Appendix and the public repository, rather than treated as additional scientific outcomes.</w:t>
      </w:r>
    </w:p>
    <w:p>
      <w:r>
        <w:rPr/>
        <w:t>Across the complete selection-rule inventory, seven of eight rules gave positive mean changes for each neural pipeline, expansion and endpoint. Tail cross-entropy supplied the eight adverse neural endpoint contrasts; full results remain in S1 Data.</w:t>
      </w:r>
    </w:p>
    <w:p>
      <w:pPr>
        <w:pStyle w:val="Heading1"/>
      </w:pPr>
      <w:r>
        <w:rPr/>
        <w:t>Discussion</w:t>
      </w:r>
    </w:p>
    <w:p>
      <w:pPr>
        <w:pStyle w:val="Heading2"/>
      </w:pPr>
      <w:r>
        <w:rPr/>
        <w:t>Source-cohort expansion as an effective decoder-design choice</w:t>
      </w:r>
    </w:p>
    <w:p>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p>
    <w:p>
      <w:r>
        <w:rPr/>
        <w:t>Full neural trajectories received 5,120 updates at every source level, and the 20-epoch controls matched 2,560 updates within each neural pipeline. However, S9 sampled only BNCI, whereas S29 and S60 allocated half the training draws to BNCI and half to Yang. Thus, the S9-to-mixed-source differences combine changes in provider composition, participant/trial availability and sampling weights; duration matching does not isolate a causal effect of participant count. Within the two mixed-source pools, S29 and S60 achieved 49.03% and 48.48% weaker-class recall (S60−S29: −0.55 points, 95% CI −2.16 to 1.06), with similar balanced accuracy (64.11% versus 64.17%). The data therefore do not support a monotonic source-size gain or identify the cause of this near-plateau.</w:t>
      </w:r>
    </w:p>
    <w:p>
      <w:pPr>
        <w:pStyle w:val="Heading2"/>
      </w:pPr>
      <w:r>
        <w:rPr/>
        <w:t>Consistency across source configurations and decoding approaches</w:t>
      </w:r>
    </w:p>
    <w:p>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p>
    <w:p>
      <w:r>
        <w:rPr/>
        <w:t>The conventional CSP–LDA decoder gained 13.82 points in weaker-class recall and 5.25 points in balanced accuracy from S9 to S60. It also achieved somewhat higher S60 balanced accuracy than broadband EEGNet (65.38% versus 64.17%), demonstrating the continued value of a strong regularized spatial-filtering baseline; the between-model difference was not an inferential contrast. Its LDA stage used an 8,192-draw weighted-sampling approximation, rather than exact weighted fitting. Large-scale MOABB benchmarking likewise emphasizes conventional comparators [21]. All three fitted seeds showed positive mean source-expansion effects at the common 20-epoch neural checkpoint, but none of these observations proves an architecture ranking.</w:t>
      </w:r>
    </w:p>
    <w:p>
      <w:pPr>
        <w:pStyle w:val="Heading2"/>
      </w:pPr>
      <w:r>
        <w:rPr/>
        <w:t>Class rebalancing explains the coverage gain</w:t>
      </w:r>
    </w:p>
    <w:p>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Right-hand recall rose from 31.01% to 59.64%, while left-hand recall fell from 85.63% to 68.71%. The narrower gap is therefore consistent with less asymmetric hard-label predictions, not improvement in both hand classes. These class-recall summaries alone cannot distinguish improved score discrimination from a shifted decision threshold; score-level and threshold-calibration comparisons would be needed.</w:t>
      </w:r>
    </w:p>
    <w:p>
      <w:r>
        <w:rPr/>
        <w:t>Source-cohort design complements EEG domain-generalization methods [3–5], but the common montage and per-trial amplitude scaling do not remove cross-dataset spatial covariance differences. The analyses did not compare target-statistics approaches, such as Euclidean alignment or unsupervised score calibration, so their effects relative to the observed source-configuration change are unknown.</w:t>
      </w:r>
    </w:p>
    <w:p>
      <w:pPr>
        <w:pStyle w:val="Heading2"/>
      </w:pPr>
      <w:r>
        <w:rPr/>
        <w:t>Scope and next validation</w:t>
      </w:r>
    </w:p>
    <w:p>
      <w:r>
        <w:rPr/>
        <w:t>The evidence concerns three source configurations, one exploratory external cohort, one fixed Yang subset and three fitted seeds. Source-validation objectives chose very different training durations: for broadband tail weaker-class recall, epochs 27, 5 and 5 in S9, S29 and S60; for broadband S29/S60, tail cross-entropy chose epoch 1 while tail balanced accuracy chose epoch 39. These are observed selection outcomes, not proof that early training was intrinsically better or that a specific optimization mechanism caused later decline. The S60−S29 and selector contrasts remained uncertain; tail cross-entropy produced adverse external results, ten participants lost weaker-class recall, and the Yang timing and Dreyer feedback intervals constrain interpretation. Yang-only training, alternative provider weights, unsupervised calibration, covariance alignment and additional independent external cohorts were not evaluated and remain targets for future study.</w:t>
      </w:r>
    </w:p>
    <w:p>
      <w:pPr>
        <w:pStyle w:val="Heading1"/>
      </w:pPr>
      <w:r>
        <w:rPr/>
        <w:t>Conclusions</w:t>
      </w:r>
    </w:p>
    <w:p>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records, original compressed prediction/result tables, audit code and scripted verification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contains the post hoc descriptive reconstruction; the archived predictions and original hypothesis tests are unchanged.</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r>
        <w:rPr/>
        <w:t>S4 Data. Complete additional post hoc descriptive inventory, joint endpoint changes, verification receipt and reproducible calculation script.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2026-10-18T07:22:38Z</dcterms:created>
  <dcterms:modified xsi:type="dcterms:W3CDTF">2026-10-18T07:22:38Z</dcterms:modified>
  <cp:category/>
</cp:coreProperties>
</file>