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Author review checklist</w:t>
      </w:r>
    </w:p>
    <w:p>
      <w:pPr>
        <w:pStyle w:val="FirstParagraph"/>
      </w:pPr>
      <w:r>
        <w:rPr>
          <w:b/>
          <w:bCs/>
        </w:rPr>
        <w:t xml:space="preserve">Longitudinal Motor-Imagery EEG Decoding: Frozen Baselines, Supervised Recalibration, and Task-Measurement Reliability</w:t>
      </w:r>
    </w:p>
    <w:p>
      <w:pPr>
        <w:pStyle w:val="BodyText"/>
      </w:pPr>
      <w:r>
        <w:t xml:space="preserve">These are unresolved author, institutional and publication details for the</w:t>
      </w:r>
      <w:r>
        <w:t xml:space="preserve"> </w:t>
      </w:r>
      <w:hyperlink r:id="rId20">
        <w:r>
          <w:rPr>
            <w:rStyle w:val="Hyperlink"/>
          </w:rPr>
          <w:t xml:space="preserve">working draft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supplementary methods</w:t>
        </w:r>
      </w:hyperlink>
      <w:r>
        <w:t xml:space="preserve">. They are not</w:t>
      </w:r>
      <w:r>
        <w:t xml:space="preserve"> </w:t>
      </w:r>
      <w:r>
        <w:t xml:space="preserve">new experiment requirements or authorization to change the frozen analyses.</w:t>
      </w:r>
      <w:r>
        <w:t xml:space="preserve"> </w:t>
      </w:r>
      <w:r>
        <w:t xml:space="preserve">Leave an item pending until the responsible authors supply the actual facts.</w:t>
      </w:r>
    </w:p>
    <w:bookmarkStart w:id="22" w:name="X81d2acea0c997b7ef7b44d89adc31948dfa4530"/>
    <w:p>
      <w:pPr>
        <w:pStyle w:val="Heading1"/>
      </w:pPr>
      <w:r>
        <w:t xml:space="preserve">Retrieved identity and working journal format</w:t>
      </w:r>
    </w:p>
    <w:p>
      <w:pPr>
        <w:pStyle w:val="FirstParagraph"/>
      </w:pPr>
      <w:r>
        <w:t xml:space="preserve">At the user’s direction, the fixed first-paper commit</w:t>
      </w:r>
      <w:r>
        <w:t xml:space="preserve"> </w:t>
      </w:r>
      <w:r>
        <w:rPr>
          <w:rStyle w:val="VerbatimChar"/>
        </w:rPr>
        <w:t xml:space="preserve">d9a11926076bd348696f6e690078955921dac3f8</w:t>
      </w:r>
      <w:r>
        <w:t xml:space="preserve"> </w:t>
      </w:r>
      <w:r>
        <w:t xml:space="preserve">was read without modifying that</w:t>
      </w:r>
      <w:r>
        <w:t xml:space="preserve"> </w:t>
      </w:r>
      <w:r>
        <w:t xml:space="preserve">project. Its manuscript byline and submission fields agree:</w:t>
      </w:r>
    </w:p>
    <w:p>
      <w:pPr>
        <w:pStyle w:val="Compact"/>
        <w:numPr>
          <w:ilvl w:val="0"/>
          <w:numId w:val="1001"/>
        </w:numPr>
      </w:pPr>
      <w:r>
        <w:t xml:space="preserve">Author/corresponding author:</w:t>
      </w:r>
      <w:r>
        <w:t xml:space="preserve"> </w:t>
      </w:r>
      <w:r>
        <w:rPr>
          <w:b/>
          <w:bCs/>
        </w:rPr>
        <w:t xml:space="preserve">Ziyuan Zhu (朱子元)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Affiliation:</w:t>
      </w:r>
      <w:r>
        <w:t xml:space="preserve"> </w:t>
      </w:r>
      <w:r>
        <w:rPr>
          <w:b/>
          <w:bCs/>
        </w:rPr>
        <w:t xml:space="preserve">College of Artificial Intelligence Medicine, Chongqing Medical</w:t>
      </w:r>
      <w:r>
        <w:rPr>
          <w:b/>
          <w:bCs/>
        </w:rPr>
        <w:t xml:space="preserve"> </w:t>
      </w:r>
      <w:r>
        <w:rPr>
          <w:b/>
          <w:bCs/>
        </w:rPr>
        <w:t xml:space="preserve">University, Chongqing, China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Correspondence:</w:t>
      </w:r>
      <w:r>
        <w:t xml:space="preserve"> </w:t>
      </w:r>
      <w:r>
        <w:rPr>
          <w:b/>
          <w:bCs/>
        </w:rPr>
        <w:t xml:space="preserve">zzy2630816871@gmail.com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Postal address: Jinyun Campus, Chongqing Medical University, No. 61,</w:t>
      </w:r>
      <w:r>
        <w:t xml:space="preserve"> </w:t>
      </w:r>
      <w:r>
        <w:t xml:space="preserve">Daxuecheng Middle Road, Shapingba District, Chongqing 401331, China.</w:t>
      </w:r>
    </w:p>
    <w:p>
      <w:pPr>
        <w:pStyle w:val="Compact"/>
        <w:numPr>
          <w:ilvl w:val="0"/>
          <w:numId w:val="1001"/>
        </w:numPr>
      </w:pPr>
      <w:r>
        <w:t xml:space="preserve">Author-supplied ORCID:</w:t>
      </w:r>
      <w:r>
        <w:t xml:space="preserve"> </w:t>
      </w:r>
      <w:r>
        <w:rPr>
          <w:b/>
          <w:bCs/>
        </w:rPr>
        <w:t xml:space="preserve">0009-0005-1153-4926</w:t>
      </w:r>
      <w:r>
        <w:t xml:space="preserve">. The first-paper record notes</w:t>
      </w:r>
      <w:r>
        <w:t xml:space="preserve"> </w:t>
      </w:r>
      <w:r>
        <w:t xml:space="preserve">reversed given/family profile fields; this work did not recheck or alter that</w:t>
      </w:r>
      <w:r>
        <w:t xml:space="preserve"> </w:t>
      </w:r>
      <w:r>
        <w:t xml:space="preserve">profile and does not claim the correction is complete.</w:t>
      </w:r>
    </w:p>
    <w:p>
      <w:pPr>
        <w:pStyle w:val="Compact"/>
        <w:numPr>
          <w:ilvl w:val="0"/>
          <w:numId w:val="1001"/>
        </w:numPr>
      </w:pPr>
      <w:r>
        <w:t xml:space="preserve">Working journal/article format:</w:t>
      </w:r>
      <w:r>
        <w:t xml:space="preserve"> </w:t>
      </w:r>
      <w:r>
        <w:rPr>
          <w:b/>
          <w:bCs/>
        </w:rPr>
        <w:t xml:space="preserve">PLOS ONE / Research Article</w:t>
      </w:r>
      <w:r>
        <w:t xml:space="preserve">. This carries</w:t>
      </w:r>
      <w:r>
        <w:t xml:space="preserve"> </w:t>
      </w:r>
      <w:r>
        <w:t xml:space="preserve">forward formatting information, not first-paper approval to submit this paper.</w:t>
      </w:r>
    </w:p>
    <w:p>
      <w:pPr>
        <w:pStyle w:val="FirstParagraph"/>
      </w:pPr>
      <w:r>
        <w:t xml:space="preserve">Only these requested identity/format fields were reused. Contribution, funding,</w:t>
      </w:r>
      <w:r>
        <w:t xml:space="preserve"> </w:t>
      </w:r>
      <w:r>
        <w:t xml:space="preserve">competing-interest, ethics, exclusivity and publication-approval declarations</w:t>
      </w:r>
      <w:r>
        <w:t xml:space="preserve"> </w:t>
      </w:r>
      <w:r>
        <w:t xml:space="preserve">remain specific to the second paper and require actual author confirmation.</w:t>
      </w:r>
      <w:r>
        <w:t xml:space="preserve"> </w:t>
      </w:r>
      <w:r>
        <w:t xml:space="preserve">The exact source URLs, excerpts and byte hashes are retained in the manuscript</w:t>
      </w:r>
      <w:r>
        <w:t xml:space="preserve"> </w:t>
      </w:r>
      <w:r>
        <w:t xml:space="preserve">completion evidence directory’s</w:t>
      </w:r>
      <w:r>
        <w:t xml:space="preserve"> </w:t>
      </w:r>
      <w:r>
        <w:rPr>
          <w:rStyle w:val="VerbatimChar"/>
        </w:rPr>
        <w:t xml:space="preserve">paper1_author_reference/identity_reference.json</w:t>
      </w:r>
      <w:r>
        <w:t xml:space="preserve">.</w:t>
      </w:r>
    </w:p>
    <w:bookmarkEnd w:id="22"/>
    <w:bookmarkStart w:id="23" w:name="authorship-and-institutional-details"/>
    <w:p>
      <w:pPr>
        <w:pStyle w:val="Heading1"/>
      </w:pPr>
      <w:r>
        <w:t xml:space="preserve">Authorship and institutional details</w:t>
      </w:r>
    </w:p>
    <w:p>
      <w:pPr>
        <w:pStyle w:val="Compact"/>
        <w:numPr>
          <w:ilvl w:val="0"/>
          <w:numId w:val="1002"/>
        </w:numPr>
      </w:pPr>
      <w:r>
        <w:t xml:space="preserve">☐ Confirm the retrieved Ziyuan Zhu byline, affiliation and contact details</w:t>
      </w:r>
      <w:r>
        <w:t xml:space="preserve"> </w:t>
      </w:r>
      <w:r>
        <w:t xml:space="preserve">are current for this manuscript, and verify the ORCID profile’s given/family</w:t>
      </w:r>
      <w:r>
        <w:t xml:space="preserve"> </w:t>
      </w:r>
      <w:r>
        <w:t xml:space="preserve">fields before linking it in a submission system.</w:t>
      </w:r>
    </w:p>
    <w:p>
      <w:pPr>
        <w:pStyle w:val="Compact"/>
        <w:numPr>
          <w:ilvl w:val="0"/>
          <w:numId w:val="1002"/>
        </w:numPr>
      </w:pPr>
      <w:r>
        <w:t xml:space="preserve">☐ Agree the actual contribution statement and approval/accountability of</w:t>
      </w:r>
      <w:r>
        <w:t xml:space="preserve"> </w:t>
      </w:r>
      <w:r>
        <w:t xml:space="preserve">every author. Use the journal’s contribution taxonomy if required; do not</w:t>
      </w:r>
      <w:r>
        <w:t xml:space="preserve"> </w:t>
      </w:r>
      <w:r>
        <w:t xml:space="preserve">infer contributions from repository activity or assign authorship to tools.</w:t>
      </w:r>
    </w:p>
    <w:p>
      <w:pPr>
        <w:pStyle w:val="Compact"/>
        <w:numPr>
          <w:ilvl w:val="0"/>
          <w:numId w:val="1002"/>
        </w:numPr>
      </w:pPr>
      <w:r>
        <w:t xml:space="preserve">☐ Supply actual funding, grant identifiers and relevant acknowledgments,</w:t>
      </w:r>
      <w:r>
        <w:t xml:space="preserve"> </w:t>
      </w:r>
      <w:r>
        <w:t xml:space="preserve">including an explicit no-funding statement only if the authors confirm it.</w:t>
      </w:r>
    </w:p>
    <w:p>
      <w:pPr>
        <w:pStyle w:val="Compact"/>
        <w:numPr>
          <w:ilvl w:val="0"/>
          <w:numId w:val="1002"/>
        </w:numPr>
      </w:pPr>
      <w:r>
        <w:t xml:space="preserve">☐ Obtain each author’s competing-interest disclosure. Do not replace</w:t>
      </w:r>
      <w:r>
        <w:t xml:space="preserve"> </w:t>
      </w:r>
      <w:r>
        <w:t xml:space="preserve">missing disclosures with a fabricated statement of no competing interests.</w:t>
      </w:r>
    </w:p>
    <w:bookmarkEnd w:id="23"/>
    <w:bookmarkStart w:id="24" w:name="X2d90cf3b6dfe27db0c6846a6f22ebb3389d8fe4"/>
    <w:p>
      <w:pPr>
        <w:pStyle w:val="Heading1"/>
      </w:pPr>
      <w:r>
        <w:t xml:space="preserve">Secondary-data ethical determination and source qualifications</w:t>
      </w:r>
    </w:p>
    <w:p>
      <w:pPr>
        <w:pStyle w:val="Compact"/>
        <w:numPr>
          <w:ilvl w:val="0"/>
          <w:numId w:val="1003"/>
        </w:numPr>
      </w:pPr>
      <w:r>
        <w:t xml:space="preserve">☐ Obtain the responsible institution’s determination for this secondary</w:t>
      </w:r>
      <w:r>
        <w:t xml:space="preserve"> </w:t>
      </w:r>
      <w:r>
        <w:t xml:space="preserve">analysis and its required wording: approval, exemption, waiver, non-human-</w:t>
      </w:r>
      <w:r>
        <w:t xml:space="preserve"> </w:t>
      </w:r>
      <w:r>
        <w:t xml:space="preserve">subjects determination, or an applicable policy explaining why no review</w:t>
      </w:r>
      <w:r>
        <w:t xml:space="preserve"> </w:t>
      </w:r>
      <w:r>
        <w:t xml:space="preserve">is required. Supply an actual identifier and date only where they exist.</w:t>
      </w:r>
    </w:p>
    <w:p>
      <w:pPr>
        <w:pStyle w:val="Compact"/>
        <w:numPr>
          <w:ilvl w:val="0"/>
          <w:numId w:val="1003"/>
        </w:numPr>
      </w:pPr>
      <w:r>
        <w:t xml:space="preserve">☐ Review the source ethics/consent attribution against the material actually</w:t>
      </w:r>
      <w:r>
        <w:t xml:space="preserve"> </w:t>
      </w:r>
      <w:r>
        <w:t xml:space="preserve">available. The derivative metadata attributes original collection approval</w:t>
      </w:r>
      <w:r>
        <w:t xml:space="preserve"> </w:t>
      </w:r>
      <w:r>
        <w:t xml:space="preserve">to the University of Texas at Austin, protocol</w:t>
      </w:r>
      <w:r>
        <w:t xml:space="preserve"> </w:t>
      </w:r>
      <w:r>
        <w:rPr>
          <w:rStyle w:val="VerbatimChar"/>
        </w:rPr>
        <w:t xml:space="preserve">2020-03-0073</w:t>
      </w:r>
      <w:r>
        <w:t xml:space="preserve">; this is not</w:t>
      </w:r>
      <w:r>
        <w:t xml:space="preserve"> </w:t>
      </w:r>
      <w:r>
        <w:t xml:space="preserve">approval of this project, and informed-consent wording has not independently</w:t>
      </w:r>
      <w:r>
        <w:t xml:space="preserve"> </w:t>
      </w:r>
      <w:r>
        <w:t xml:space="preserve">been verified from accessible full text. No consent or institutional approval</w:t>
      </w:r>
      <w:r>
        <w:t xml:space="preserve"> </w:t>
      </w:r>
      <w:r>
        <w:t xml:space="preserve">claim should be invented to fill the manuscript section.</w:t>
      </w:r>
    </w:p>
    <w:p>
      <w:pPr>
        <w:pStyle w:val="Compact"/>
        <w:numPr>
          <w:ilvl w:val="0"/>
          <w:numId w:val="1003"/>
        </w:numPr>
      </w:pPr>
      <w:r>
        <w:t xml:space="preserve">☐ Confirm the source-description wording and citations: Kumar2024 is the</w:t>
      </w:r>
      <w:r>
        <w:t xml:space="preserve"> </w:t>
      </w:r>
      <w:r>
        <w:t xml:space="preserve">original study, while NEMAR</w:t>
      </w:r>
      <w:r>
        <w:t xml:space="preserve"> </w:t>
      </w:r>
      <w:r>
        <w:rPr>
          <w:rStyle w:val="VerbatimChar"/>
        </w:rPr>
        <w:t xml:space="preserve">nm000177/v1.0.5</w:t>
      </w:r>
      <w:r>
        <w:t xml:space="preserve"> </w:t>
      </w:r>
      <w:r>
        <w:t xml:space="preserve">is the analyzed derivative</w:t>
      </w:r>
      <w:r>
        <w:t xml:space="preserve"> </w:t>
      </w:r>
      <w:r>
        <w:t xml:space="preserve">release. Attribute original-study demographic or collection claims to their</w:t>
      </w:r>
      <w:r>
        <w:t xml:space="preserve"> </w:t>
      </w:r>
      <w:r>
        <w:t xml:space="preserve">source rather than presenting them as independently established here.</w:t>
      </w:r>
    </w:p>
    <w:p>
      <w:pPr>
        <w:pStyle w:val="Compact"/>
        <w:numPr>
          <w:ilvl w:val="0"/>
          <w:numId w:val="1003"/>
        </w:numPr>
      </w:pPr>
      <w:r>
        <w:t xml:space="preserve">☐ Retain the documented limitations when approving final wording: published</w:t>
      </w:r>
      <w:r>
        <w:t xml:space="preserve"> </w:t>
      </w:r>
      <w:r>
        <w:t xml:space="preserve">IDs do not independently verify biological identity;</w:t>
      </w:r>
      <w:r>
        <w:t xml:space="preserve"> </w:t>
      </w:r>
      <w:r>
        <w:rPr>
          <w:rStyle w:val="VerbatimChar"/>
        </w:rPr>
        <w:t xml:space="preserve">age=2020</w:t>
      </w:r>
      <w:r>
        <w:t xml:space="preserve"> </w:t>
      </w:r>
      <w:r>
        <w:t xml:space="preserve">is an invalid</w:t>
      </w:r>
      <w:r>
        <w:t xml:space="preserve"> </w:t>
      </w:r>
      <w:r>
        <w:t xml:space="preserve">placeholder, GR/PAR mapping is unresolved, and derivative timestamps and CPz</w:t>
      </w:r>
      <w:r>
        <w:t xml:space="preserve"> </w:t>
      </w:r>
      <w:r>
        <w:t xml:space="preserve">metadata have the stated provenance limits. Do not infer missing demographic</w:t>
      </w:r>
      <w:r>
        <w:t xml:space="preserve"> </w:t>
      </w:r>
      <w:r>
        <w:t xml:space="preserve">or behavioral information.</w:t>
      </w:r>
    </w:p>
    <w:bookmarkEnd w:id="24"/>
    <w:bookmarkStart w:id="25" w:name="X1f10a14a057da612f73df348a82eb6a0d60cc64"/>
    <w:p>
      <w:pPr>
        <w:pStyle w:val="Heading1"/>
      </w:pPr>
      <w:r>
        <w:t xml:space="preserve">Data, code, reference and journal statements</w:t>
      </w:r>
    </w:p>
    <w:p>
      <w:pPr>
        <w:pStyle w:val="Compact"/>
        <w:numPr>
          <w:ilvl w:val="0"/>
          <w:numId w:val="1004"/>
        </w:numPr>
      </w:pPr>
      <w:r>
        <w:t xml:space="preserve">☐ Confirm that the Data Availability statement names the exact release,</w:t>
      </w:r>
      <w:r>
        <w:t xml:space="preserve"> </w:t>
      </w:r>
      <w:r>
        <w:t xml:space="preserve">its CC BY 4.0 terms and required attribution, and distinguishes public source</w:t>
      </w:r>
      <w:r>
        <w:t xml:space="preserve"> </w:t>
      </w:r>
      <w:r>
        <w:t xml:space="preserve">access from private project weights, EEG copies and binary evidence. Do not</w:t>
      </w:r>
      <w:r>
        <w:t xml:space="preserve"> </w:t>
      </w:r>
      <w:r>
        <w:t xml:space="preserve">promise public artifacts that have not actually been released.</w:t>
      </w:r>
    </w:p>
    <w:p>
      <w:pPr>
        <w:pStyle w:val="Compact"/>
        <w:numPr>
          <w:ilvl w:val="0"/>
          <w:numId w:val="1004"/>
        </w:numPr>
      </w:pPr>
      <w:r>
        <w:t xml:space="preserve">☐ Have the rights holders choose and approve the repository’s software</w:t>
      </w:r>
      <w:r>
        <w:t xml:space="preserve"> </w:t>
      </w:r>
      <w:r>
        <w:t xml:space="preserve">license, verify the actual license file and upstream obligations, and align</w:t>
      </w:r>
      <w:r>
        <w:t xml:space="preserve"> </w:t>
      </w:r>
      <w:r>
        <w:t xml:space="preserve">the Code Availability statement with that decision. The dataset’s CC BY 4.0</w:t>
      </w:r>
      <w:r>
        <w:t xml:space="preserve"> </w:t>
      </w:r>
      <w:r>
        <w:t xml:space="preserve">license does not itself license this project’s software. A missing software</w:t>
      </w:r>
      <w:r>
        <w:t xml:space="preserve"> </w:t>
      </w:r>
      <w:r>
        <w:t xml:space="preserve">license must not be described as an established open-source license.</w:t>
      </w:r>
    </w:p>
    <w:p>
      <w:pPr>
        <w:pStyle w:val="Compact"/>
        <w:numPr>
          <w:ilvl w:val="0"/>
          <w:numId w:val="1004"/>
        </w:numPr>
      </w:pPr>
      <w:r>
        <w:t xml:space="preserve">☐ Review the supplied verification of core bibliography metadata and each</w:t>
      </w:r>
      <w:r>
        <w:t xml:space="preserve"> </w:t>
      </w:r>
      <w:r>
        <w:t xml:space="preserve">citation’s intended scope, and confirm final reference completeness.</w:t>
      </w:r>
      <w:r>
        <w:t xml:space="preserve"> </w:t>
      </w:r>
      <w:r>
        <w:t xml:space="preserve">The exact NEMAR version DOI and the original article’s published correction</w:t>
      </w:r>
      <w:r>
        <w:t xml:space="preserve"> </w:t>
      </w:r>
      <w:r>
        <w:t xml:space="preserve">have been checked against official records; this does not imply full-text</w:t>
      </w:r>
      <w:r>
        <w:t xml:space="preserve"> </w:t>
      </w:r>
      <w:r>
        <w:t xml:space="preserve">review of every article or verification of the original consent statement.</w:t>
      </w:r>
      <w:r>
        <w:t xml:space="preserve"> </w:t>
      </w:r>
      <w:r>
        <w:t xml:space="preserve">Distinguish original Kumar collection, NEMAR</w:t>
      </w:r>
      <w:r>
        <w:t xml:space="preserve"> </w:t>
      </w:r>
      <w:r>
        <w:t xml:space="preserve">derivative version, CSP/shrinkage methods and the actual EEGNet/Braindecode</w:t>
      </w:r>
      <w:r>
        <w:t xml:space="preserve"> </w:t>
      </w:r>
      <w:r>
        <w:t xml:space="preserve">implementation. Do not claim that an inaccessible paper was fully read or</w:t>
      </w:r>
      <w:r>
        <w:t xml:space="preserve"> </w:t>
      </w:r>
      <w:r>
        <w:t xml:space="preserve">fabricate citation details or support from its abstract/metadata.</w:t>
      </w:r>
    </w:p>
    <w:p>
      <w:pPr>
        <w:pStyle w:val="Compact"/>
        <w:numPr>
          <w:ilvl w:val="0"/>
          <w:numId w:val="1004"/>
        </w:numPr>
      </w:pPr>
      <w:r>
        <w:t xml:space="preserve">☐ Confirm the carried-forward PLOS ONE target and apply its actual article format,</w:t>
      </w:r>
      <w:r>
        <w:t xml:space="preserve"> </w:t>
      </w:r>
      <w:r>
        <w:t xml:space="preserve">abstract/word limits, figure/table specifications, reporting forms and</w:t>
      </w:r>
      <w:r>
        <w:t xml:space="preserve"> </w:t>
      </w:r>
      <w:r>
        <w:t xml:space="preserve">data/code/AI-assistance disclosure requirements where applicable. Confirm</w:t>
      </w:r>
      <w:r>
        <w:t xml:space="preserve"> </w:t>
      </w:r>
      <w:r>
        <w:t xml:space="preserve">author approval of the final wording and any required submission declarations.</w:t>
      </w:r>
    </w:p>
    <w:p>
      <w:pPr>
        <w:pStyle w:val="Compact"/>
        <w:numPr>
          <w:ilvl w:val="0"/>
          <w:numId w:val="1004"/>
        </w:numPr>
      </w:pPr>
      <w:r>
        <w:t xml:space="preserve">☐ Verify that the final cited code/evidence version and all public artifact</w:t>
      </w:r>
      <w:r>
        <w:t xml:space="preserve"> </w:t>
      </w:r>
      <w:r>
        <w:t xml:space="preserve">links are the versions actually released. A repository commit, private R2</w:t>
      </w:r>
      <w:r>
        <w:t xml:space="preserve"> </w:t>
      </w:r>
      <w:r>
        <w:t xml:space="preserve">backup and manuscript submission are separate actions; do not describe any</w:t>
      </w:r>
      <w:r>
        <w:t xml:space="preserve"> </w:t>
      </w:r>
      <w:r>
        <w:t xml:space="preserve">unpublished release or submission as completed.</w:t>
      </w:r>
    </w:p>
    <w:p>
      <w:pPr>
        <w:pStyle w:val="FirstParagraph"/>
      </w:pPr>
      <w:r>
        <w:t xml:space="preserve">This checklist does not ask for more fitting, new query evaluation, a new</w:t>
      </w:r>
      <w:r>
        <w:t xml:space="preserve"> </w:t>
      </w:r>
      <w:r>
        <w:t xml:space="preserve">adaptation strategy or additional participants. The completed scientific</w:t>
      </w:r>
      <w:r>
        <w:t xml:space="preserve"> </w:t>
      </w:r>
      <w:r>
        <w:t xml:space="preserve">results and their limitations remain as recorded; administrative completion</w:t>
      </w:r>
      <w:r>
        <w:t xml:space="preserve"> </w:t>
      </w:r>
      <w:r>
        <w:t xml:space="preserve">does not make the analysis confirmatory or establish a validated adaptive gate.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jackzhu119/few-shot-mi-eeg/blob/a2b87c244fed10e3def477a2601cb81df4c23682/manuscript/kumar_longitudinal_decoding_working_draft_20261015.md" TargetMode="External" /><Relationship Type="http://schemas.openxmlformats.org/officeDocument/2006/relationships/hyperlink" Id="rId21" Target="https://github.com/jackzhu119/few-shot-mi-eeg/blob/research/learning-preserving-bci/manuscript/kumar_supplementary_methods_20261015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jackzhu119/few-shot-mi-eeg/blob/a2b87c244fed10e3def477a2601cb81df4c23682/manuscript/kumar_longitudinal_decoding_working_draft_20261015.md" TargetMode="External" /><Relationship Type="http://schemas.openxmlformats.org/officeDocument/2006/relationships/hyperlink" Id="rId21" Target="https://github.com/jackzhu119/few-shot-mi-eeg/blob/research/learning-preserving-bci/manuscript/kumar_supplementary_methods_20261015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 review checklist</dc:title>
  <dc:creator/>
  <dc:language>en-US</dc:language>
  <cp:keywords/>
  <dcterms:created xsi:type="dcterms:W3CDTF">2026-10-15T10:43:33Z</dcterms:created>
  <dcterms:modified xsi:type="dcterms:W3CDTF">2026-10-15T10:43:33Z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/workspace/few-shot-mi-eeg/manuscript/kumar_references_20261015.bib</vt:lpwstr>
  </property>
  <property fmtid="{D5CDD505-2E9C-101B-9397-08002B2CF9AE}" pid="3" name="csl">
    <vt:lpwstr>/workspace/few-shot-mi-eeg/manuscript/review_package_20261015/plos.csl</vt:lpwstr>
  </property>
  <property fmtid="{D5CDD505-2E9C-101B-9397-08002B2CF9AE}" pid="4" name="link-citations">
    <vt:lpwstr>True</vt:lpwstr>
  </property>
</Properties>
</file>