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Longitudinal Motor-Imagery EEG Decoding: Frozen Baselines, Supervised Recalibration, and Task-Measurement Reliability</w:t>
      </w:r>
    </w:p>
    <w:p>
      <w:pPr>
        <w:pStyle w:val="FirstParagraph"/>
      </w:pPr>
      <w:r>
        <w:rPr>
          <w:b/>
          <w:bCs/>
        </w:rPr>
        <w:t xml:space="preserve">Ziyuan Zhu</w:t>
      </w:r>
    </w:p>
    <w:p>
      <w:pPr>
        <w:pStyle w:val="BodyText"/>
      </w:pPr>
      <w:r>
        <w:t xml:space="preserve">College of Artificial Intelligence Medicine, Chongqing Medical University, Chongqing, China</w:t>
      </w:r>
    </w:p>
    <w:p>
      <w:pPr>
        <w:pStyle w:val="BodyText"/>
      </w:pPr>
      <w:r>
        <w:rPr>
          <w:b/>
          <w:bCs/>
        </w:rPr>
        <w:t xml:space="preserve">Corresponding author:</w:t>
      </w:r>
      <w:r>
        <w:t xml:space="preserve"> </w:t>
      </w:r>
      <w:r>
        <w:t xml:space="preserve">Ziyuan Zhu — zzy2630816871@gmail.com</w:t>
      </w:r>
    </w:p>
    <w:p>
      <w:pPr>
        <w:pStyle w:val="BodyText"/>
      </w:pPr>
      <w:r>
        <w:rPr>
          <w:b/>
          <w:bCs/>
        </w:rPr>
        <w:t xml:space="preserve">ORCID:</w:t>
      </w:r>
      <w:r>
        <w:t xml:space="preserve"> </w:t>
      </w:r>
      <w:hyperlink r:id="rId20">
        <w:r>
          <w:rPr>
            <w:rStyle w:val="Hyperlink"/>
          </w:rPr>
          <w:t xml:space="preserve">0009-0005-1153-4926</w:t>
        </w:r>
      </w:hyperlink>
    </w:p>
    <w:p>
      <w:pPr>
        <w:pStyle w:val="BodyText"/>
      </w:pPr>
      <w:r>
        <w:rPr>
          <w:b/>
          <w:bCs/>
        </w:rPr>
        <w:t xml:space="preserve">English working draft; evidence available on 2026-10-15.</w:t>
      </w:r>
      <w:r>
        <w:t xml:space="preserve"> </w:t>
      </w:r>
      <w:r>
        <w:t xml:space="preserve">This draft reports</w:t>
      </w:r>
      <w:r>
        <w:t xml:space="preserve"> </w:t>
      </w:r>
      <w:r>
        <w:t xml:space="preserve">completed offline baselines and measurement diagnostics. The historical project</w:t>
      </w:r>
      <w:r>
        <w:t xml:space="preserve"> </w:t>
      </w:r>
      <w:r>
        <w:t xml:space="preserve">direction, Task-Aware Adaptive Decoding for Longitudinal Motor-Imagery EEG,</w:t>
      </w:r>
      <w:r>
        <w:t xml:space="preserve"> </w:t>
      </w:r>
      <w:r>
        <w:t xml:space="preserve">remains distinct from the manuscript title; an effective task-aware adaptation</w:t>
      </w:r>
      <w:r>
        <w:t xml:space="preserve"> </w:t>
      </w:r>
      <w:r>
        <w:t xml:space="preserve">policy has not been demonstrated. This is an exploratory research draft, not a</w:t>
      </w:r>
      <w:r>
        <w:t xml:space="preserve"> </w:t>
      </w:r>
      <w:r>
        <w:t xml:space="preserve">submission-ready manuscript. The historical NETBCI manuscript is a separate</w:t>
      </w:r>
      <w:r>
        <w:t xml:space="preserve"> </w:t>
      </w:r>
      <w:r>
        <w:t xml:space="preserve">record and contributes no additional participants to the present analysis.</w:t>
      </w:r>
    </w:p>
    <w:bookmarkStart w:id="21" w:name="abstract"/>
    <w:p>
      <w:pPr>
        <w:pStyle w:val="Heading1"/>
      </w:pPr>
      <w:r>
        <w:t xml:space="preserve">Abstract</w:t>
      </w:r>
    </w:p>
    <w:p>
      <w:pPr>
        <w:pStyle w:val="FirstParagraph"/>
      </w:pPr>
      <w:r>
        <w:t xml:space="preserve">Longitudinal motor-imagery decoding requires distinguishing changes in the EEG</w:t>
      </w:r>
      <w:r>
        <w:t xml:space="preserve"> </w:t>
      </w:r>
      <w:r>
        <w:t xml:space="preserve">distribution from changes in information useful for a fixed task. We studied</w:t>
      </w:r>
      <w:r>
        <w:t xml:space="preserve"> </w:t>
      </w:r>
      <w:r>
        <w:t xml:space="preserve">18 published participant identities across six ordered sessions in Kumar2024</w:t>
      </w:r>
      <w:r>
        <w:t xml:space="preserve"> </w:t>
      </w:r>
      <w:r>
        <w:t xml:space="preserve">(NEMAR nm000177, version 1.0.5). A frozen within-participant protocol compared</w:t>
      </w:r>
      <w:r>
        <w:t xml:space="preserve"> </w:t>
      </w:r>
      <w:r>
        <w:t xml:space="preserve">source-only CSP/LDA, LDA recalibration with frozen CSP, and full CSP/LDA refitting.</w:t>
      </w:r>
      <w:r>
        <w:t xml:space="preserve"> </w:t>
      </w:r>
      <w:r>
        <w:t xml:space="preserve">An additional source-only EEGNet baseline retained three fixed random seeds for</w:t>
      </w:r>
      <w:r>
        <w:t xml:space="preserve"> </w:t>
      </w:r>
      <w:r>
        <w:t xml:space="preserve">every participant. All methods were evaluated on the same query identities;</w:t>
      </w:r>
      <w:r>
        <w:t xml:space="preserve"> </w:t>
      </w:r>
      <w:r>
        <w:t xml:space="preserve">their source-validation and target-label budgets differed and are reported</w:t>
      </w:r>
      <w:r>
        <w:t xml:space="preserve"> </w:t>
      </w:r>
      <w:r>
        <w:t xml:space="preserve">explicitly. The primary CPU contrast in the fixed remaining 12 participants</w:t>
      </w:r>
      <w:r>
        <w:t xml:space="preserve"> </w:t>
      </w:r>
      <w:r>
        <w:t xml:space="preserve">favored full refitting over source-only decoding by 7.42 percentage points</w:t>
      </w:r>
      <w:r>
        <w:t xml:space="preserve"> </w:t>
      </w:r>
      <w:r>
        <w:t xml:space="preserve">(95% participant-bootstrap interval 2.49–12.48), although three participants</w:t>
      </w:r>
      <w:r>
        <w:t xml:space="preserve"> </w:t>
      </w:r>
      <w:r>
        <w:t xml:space="preserve">worsened. Always-frozen EEGNet achieved mean target balanced accuracy of 51.58%</w:t>
      </w:r>
      <w:r>
        <w:t xml:space="preserve"> </w:t>
      </w:r>
      <w:r>
        <w:t xml:space="preserve">(49.08–54.51%) in this cohort, retaining class-collapsed outcomes. Development-only</w:t>
      </w:r>
      <w:r>
        <w:t xml:space="preserve"> </w:t>
      </w:r>
      <w:r>
        <w:t xml:space="preserve">reliability probes found heterogeneous task-direction reliability; they</w:t>
      </w:r>
      <w:r>
        <w:t xml:space="preserve"> </w:t>
      </w:r>
      <w:r>
        <w:t xml:space="preserve">did not validate an adaptation gate. Full CSP/LDA refitting improved the</w:t>
      </w:r>
      <w:r>
        <w:t xml:space="preserve"> </w:t>
      </w:r>
      <w:r>
        <w:t xml:space="preserve">cohort-average endpoint under the specified support-label budget, whereas the</w:t>
      </w:r>
      <w:r>
        <w:t xml:space="preserve"> </w:t>
      </w:r>
      <w:r>
        <w:t xml:space="preserve">LDA-only contrast remained uncertain. The source-only neural baseline was weak</w:t>
      </w:r>
      <w:r>
        <w:t xml:space="preserve"> </w:t>
      </w:r>
      <w:r>
        <w:t xml:space="preserve">in this small-source setting. Previously inspected test identities make subsequent</w:t>
      </w:r>
      <w:r>
        <w:t xml:space="preserve"> </w:t>
      </w:r>
      <w:r>
        <w:t xml:space="preserve">analyses exploratory. Offline decoding does not</w:t>
      </w:r>
      <w:r>
        <w:t xml:space="preserve"> </w:t>
      </w:r>
      <w:r>
        <w:t xml:space="preserve">establish human learning, skill retention or clinical benefit.</w:t>
      </w:r>
    </w:p>
    <w:p>
      <w:pPr>
        <w:pStyle w:val="BodyText"/>
      </w:pPr>
      <w:r>
        <w:rPr>
          <w:b/>
          <w:bCs/>
        </w:rPr>
        <w:t xml:space="preserve">Keywords:</w:t>
      </w:r>
      <w:r>
        <w:t xml:space="preserve"> </w:t>
      </w:r>
      <w:r>
        <w:t xml:space="preserve">motor imagery; longitudinal EEG; cross-session decoding;</w:t>
      </w:r>
      <w:r>
        <w:t xml:space="preserve"> </w:t>
      </w:r>
      <w:r>
        <w:t xml:space="preserve">supervised recalibration; measurement reliability; reproducibility.</w:t>
      </w:r>
    </w:p>
    <w:bookmarkEnd w:id="21"/>
    <w:bookmarkStart w:id="22" w:name="introduction"/>
    <w:p>
      <w:pPr>
        <w:pStyle w:val="Heading1"/>
      </w:pPr>
      <w:r>
        <w:t xml:space="preserve">Introduction</w:t>
      </w:r>
    </w:p>
    <w:p>
      <w:pPr>
        <w:pStyle w:val="FirstParagraph"/>
      </w:pPr>
      <w:r>
        <w:t xml:space="preserve">Motor-imagery EEG decoding maps recorded activity to task labels using a</w:t>
      </w:r>
      <w:r>
        <w:t xml:space="preserve"> </w:t>
      </w:r>
      <w:r>
        <w:t xml:space="preserve">pipeline whose learned representation and decision rule may both depend on the</w:t>
      </w:r>
      <w:r>
        <w:t xml:space="preserve"> </w:t>
      </w:r>
      <w:r>
        <w:t xml:space="preserve">recording session. Reviews of EEG classification identify nonstationarity,</w:t>
      </w:r>
      <w:r>
        <w:t xml:space="preserve"> </w:t>
      </w:r>
      <w:r>
        <w:t xml:space="preserve">small training sets and evaluation design as recurring challenges</w:t>
      </w:r>
      <w:r>
        <w:t xml:space="preserve"> </w:t>
      </w:r>
      <w:r>
        <w:t xml:space="preserve">[</w:t>
      </w:r>
      <w:hyperlink w:anchor="ref-lotte2018">
        <w:r>
          <w:rPr>
            <w:rStyle w:val="Hyperlink"/>
          </w:rPr>
          <w:t xml:space="preserve">1</w:t>
        </w:r>
      </w:hyperlink>
      <w:r>
        <w:t xml:space="preserve">]</w:t>
      </w:r>
      <w:r>
        <w:t xml:space="preserve">.</w:t>
      </w:r>
      <w:r>
        <w:t xml:space="preserve"> </w:t>
      </w:r>
      <w:r>
        <w:t xml:space="preserve">A decoder trained in an early session may therefore fail when signal statistics</w:t>
      </w:r>
      <w:r>
        <w:t xml:space="preserve"> </w:t>
      </w:r>
      <w:r>
        <w:t xml:space="preserve">change. Supervised recalibration can help, but additional labels and changes in</w:t>
      </w:r>
      <w:r>
        <w:t xml:space="preserve"> </w:t>
      </w:r>
      <w:r>
        <w:t xml:space="preserve">the fitted spatial representation must be distinguished from changes in the</w:t>
      </w:r>
      <w:r>
        <w:t xml:space="preserve"> </w:t>
      </w:r>
      <w:r>
        <w:t xml:space="preserve">classifier alone. Common spatial patterns (CSP) supplies a useful conventional</w:t>
      </w:r>
      <w:r>
        <w:t xml:space="preserve"> </w:t>
      </w:r>
      <w:r>
        <w:t xml:space="preserve">reference for this distinction</w:t>
      </w:r>
      <w:r>
        <w:t xml:space="preserve"> </w:t>
      </w:r>
      <w:r>
        <w:t xml:space="preserve">[</w:t>
      </w:r>
      <w:hyperlink w:anchor="ref-ramoser2000">
        <w:r>
          <w:rPr>
            <w:rStyle w:val="Hyperlink"/>
          </w:rPr>
          <w:t xml:space="preserve">2</w:t>
        </w:r>
      </w:hyperlink>
      <w:r>
        <w:t xml:space="preserve">,</w:t>
      </w:r>
      <w:hyperlink w:anchor="ref-blankertz2008">
        <w:r>
          <w:rPr>
            <w:rStyle w:val="Hyperlink"/>
          </w:rPr>
          <w:t xml:space="preserve">3</w:t>
        </w:r>
      </w:hyperlink>
      <w:r>
        <w:t xml:space="preserve">]</w:t>
      </w:r>
      <w:r>
        <w:t xml:space="preserve">.</w:t>
      </w:r>
    </w:p>
    <w:p>
      <w:pPr>
        <w:pStyle w:val="BodyText"/>
      </w:pPr>
      <w:r>
        <w:t xml:space="preserve">Compact convolutional decoders such as EEGNet provide a complementary neural</w:t>
      </w:r>
      <w:r>
        <w:t xml:space="preserve"> </w:t>
      </w:r>
      <w:r>
        <w:t xml:space="preserve">baseline</w:t>
      </w:r>
      <w:r>
        <w:t xml:space="preserve"> </w:t>
      </w:r>
      <w:r>
        <w:t xml:space="preserve">[</w:t>
      </w:r>
      <w:hyperlink w:anchor="ref-lawhern2018">
        <w:r>
          <w:rPr>
            <w:rStyle w:val="Hyperlink"/>
          </w:rPr>
          <w:t xml:space="preserve">4</w:t>
        </w:r>
      </w:hyperlink>
      <w:r>
        <w:t xml:space="preserve">]</w:t>
      </w:r>
      <w:r>
        <w:t xml:space="preserve">, rather than a guarantee of better transfer. Comparing</w:t>
      </w:r>
      <w:r>
        <w:t xml:space="preserve"> </w:t>
      </w:r>
      <w:r>
        <w:t xml:space="preserve">pipelines on identical held-out events controls the evaluation sample, but does</w:t>
      </w:r>
      <w:r>
        <w:t xml:space="preserve"> </w:t>
      </w:r>
      <w:r>
        <w:t xml:space="preserve">not equalize their training labels, checkpoint selection or optimization. A</w:t>
      </w:r>
      <w:r>
        <w:t xml:space="preserve"> </w:t>
      </w:r>
      <w:r>
        <w:t xml:space="preserve">rigorous longitudinal comparison must account for these information budgets and</w:t>
      </w:r>
      <w:r>
        <w:t xml:space="preserve"> </w:t>
      </w:r>
      <w:r>
        <w:t xml:space="preserve">retain unsuccessful fits and predictions instead of reporting only favorable</w:t>
      </w:r>
      <w:r>
        <w:t xml:space="preserve"> </w:t>
      </w:r>
      <w:r>
        <w:t xml:space="preserve">seeds or sessions.</w:t>
      </w:r>
    </w:p>
    <w:p>
      <w:pPr>
        <w:pStyle w:val="BodyText"/>
      </w:pPr>
      <w:r>
        <w:t xml:space="preserve">We reanalyzed the released multi-session dataset associated with Kumar and</w:t>
      </w:r>
      <w:r>
        <w:t xml:space="preserve"> </w:t>
      </w:r>
      <w:r>
        <w:t xml:space="preserve">colleagues’ study of transfer learning and BCI skill acquisition</w:t>
      </w:r>
      <w:r>
        <w:t xml:space="preserve"> </w:t>
      </w:r>
      <w:r>
        <w:t xml:space="preserve">[</w:t>
      </w:r>
      <w:hyperlink w:anchor="ref-kumar2024">
        <w:r>
          <w:rPr>
            <w:rStyle w:val="Hyperlink"/>
          </w:rPr>
          <w:t xml:space="preserve">5</w:t>
        </w:r>
      </w:hyperlink>
      <w:r>
        <w:t xml:space="preserve">–</w:t>
      </w:r>
      <w:hyperlink w:anchor="ref-nemar177">
        <w:r>
          <w:rPr>
            <w:rStyle w:val="Hyperlink"/>
          </w:rPr>
          <w:t xml:space="preserve">7</w:t>
        </w:r>
      </w:hyperlink>
      <w:r>
        <w:t xml:space="preserve">]</w:t>
      </w:r>
      <w:r>
        <w:t xml:space="preserve">. The original study’s online training and feedback provide acquisition</w:t>
      </w:r>
      <w:r>
        <w:t xml:space="preserve"> </w:t>
      </w:r>
      <w:r>
        <w:t xml:space="preserve">context; our secondary analysis evaluates offline left-versus-right imagery</w:t>
      </w:r>
      <w:r>
        <w:t xml:space="preserve"> </w:t>
      </w:r>
      <w:r>
        <w:t xml:space="preserve">classification. It neither reproduces the original interventions nor measures</w:t>
      </w:r>
      <w:r>
        <w:t xml:space="preserve"> </w:t>
      </w:r>
      <w:r>
        <w:t xml:space="preserve">participant skill acquisition. The distinction is especially important when</w:t>
      </w:r>
      <w:r>
        <w:t xml:space="preserve"> </w:t>
      </w:r>
      <w:r>
        <w:t xml:space="preserve">interpreting a frozen decoder’s performance: failure of one mapping does not</w:t>
      </w:r>
      <w:r>
        <w:t xml:space="preserve"> </w:t>
      </w:r>
      <w:r>
        <w:t xml:space="preserve">identify a loss of human control or an absence of all task-related information.</w:t>
      </w:r>
    </w:p>
    <w:p>
      <w:pPr>
        <w:pStyle w:val="BodyText"/>
      </w:pPr>
      <w:r>
        <w:t xml:space="preserve">Task-related measurements also require their own validation. A change in signal</w:t>
      </w:r>
      <w:r>
        <w:t xml:space="preserve"> </w:t>
      </w:r>
      <w:r>
        <w:t xml:space="preserve">covariance need not identify a change in information useful for classification.</w:t>
      </w:r>
      <w:r>
        <w:t xml:space="preserve"> </w:t>
      </w:r>
      <w:r>
        <w:t xml:space="preserve">Likewise, a source-discriminative feature can be unreliable when estimated from</w:t>
      </w:r>
      <w:r>
        <w:t xml:space="preserve"> </w:t>
      </w:r>
      <w:r>
        <w:t xml:space="preserve">a small support run. Before using a measurement to control adaptation, its</w:t>
      </w:r>
      <w:r>
        <w:t xml:space="preserve"> </w:t>
      </w:r>
      <w:r>
        <w:t xml:space="preserve">definition, run grouping and directional reliability must be established using</w:t>
      </w:r>
      <w:r>
        <w:t xml:space="preserve"> </w:t>
      </w:r>
      <w:r>
        <w:t xml:space="preserve">data allowed for model development. A favorable cohort average alone cannot</w:t>
      </w:r>
      <w:r>
        <w:t xml:space="preserve"> </w:t>
      </w:r>
      <w:r>
        <w:t xml:space="preserve">justify a session-level decision rule.</w:t>
      </w:r>
    </w:p>
    <w:p>
      <w:pPr>
        <w:pStyle w:val="BodyText"/>
      </w:pPr>
      <w:r>
        <w:t xml:space="preserve">The present study separates three questions: whether conventional recalibration</w:t>
      </w:r>
      <w:r>
        <w:t xml:space="preserve"> </w:t>
      </w:r>
      <w:r>
        <w:t xml:space="preserve">improves longitudinal decoding under a fixed support budget; how a prespecified</w:t>
      </w:r>
      <w:r>
        <w:t xml:space="preserve"> </w:t>
      </w:r>
      <w:r>
        <w:t xml:space="preserve">source-only neural baseline transfers to later sessions; and whether available</w:t>
      </w:r>
      <w:r>
        <w:t xml:space="preserve"> </w:t>
      </w:r>
      <w:r>
        <w:t xml:space="preserve">task measurements justify a future adaptation rule. The first question has a</w:t>
      </w:r>
      <w:r>
        <w:t xml:space="preserve"> </w:t>
      </w:r>
      <w:r>
        <w:t xml:space="preserve">frozen primary CPU contrast. The latter analyses are exploratory diagnostics</w:t>
      </w:r>
      <w:r>
        <w:t xml:space="preserve"> </w:t>
      </w:r>
      <w:r>
        <w:t xml:space="preserve">and additional baselines. No task-aware policy is selected from the reported</w:t>
      </w:r>
      <w:r>
        <w:t xml:space="preserve"> </w:t>
      </w:r>
      <w:r>
        <w:t xml:space="preserve">query results. The contribution is a linked, auditable evaluation of conventional</w:t>
      </w:r>
      <w:r>
        <w:t xml:space="preserve"> </w:t>
      </w:r>
      <w:r>
        <w:t xml:space="preserve">recalibration, a frozen neural reference and measurement reliability under</w:t>
      </w:r>
      <w:r>
        <w:t xml:space="preserve"> </w:t>
      </w:r>
      <w:r>
        <w:t xml:space="preserve">explicit access rules, including their negative and heterogeneous outcomes.</w:t>
      </w:r>
    </w:p>
    <w:bookmarkEnd w:id="22"/>
    <w:bookmarkStart w:id="29" w:name="methods"/>
    <w:p>
      <w:pPr>
        <w:pStyle w:val="Heading1"/>
      </w:pPr>
      <w:r>
        <w:t xml:space="preserve">Methods</w:t>
      </w:r>
    </w:p>
    <w:bookmarkStart w:id="24" w:name="Xbc62a26fc5e21aa89274781b0663291faefa413"/>
    <w:p>
      <w:pPr>
        <w:pStyle w:val="Heading2"/>
      </w:pPr>
      <w:r>
        <w:t xml:space="preserve">Data, identity and chronological partition</w:t>
      </w:r>
    </w:p>
    <w:p>
      <w:pPr>
        <w:pStyle w:val="FirstParagraph"/>
      </w:pPr>
      <w:r>
        <w:t xml:space="preserve">The source was the already archived Kumar2024 derivative at NEMAR</w:t>
      </w:r>
      <w:r>
        <w:t xml:space="preserve"> </w:t>
      </w:r>
      <w:r>
        <w:rPr>
          <w:rStyle w:val="VerbatimChar"/>
        </w:rPr>
        <w:t xml:space="preserve">nm000177/v1.0.5</w:t>
      </w:r>
      <w:r>
        <w:t xml:space="preserve">, licensed CC BY 4.0</w:t>
      </w:r>
      <w:r>
        <w:t xml:space="preserve"> </w:t>
      </w:r>
      <w:r>
        <w:t xml:space="preserve">(</w:t>
      </w:r>
      <w:hyperlink r:id="rId23">
        <w:r>
          <w:rPr>
            <w:rStyle w:val="Hyperlink"/>
          </w:rPr>
          <w:t xml:space="preserve">source release README</w:t>
        </w:r>
      </w:hyperlink>
      <w:r>
        <w:t xml:space="preserve">).</w:t>
      </w:r>
      <w:r>
        <w:t xml:space="preserve"> </w:t>
      </w:r>
      <w:r>
        <w:t xml:space="preserve">This is a MOABB-generated BIDS derivative</w:t>
      </w:r>
      <w:r>
        <w:t xml:space="preserve"> </w:t>
      </w:r>
      <w:r>
        <w:t xml:space="preserve">[</w:t>
      </w:r>
      <w:hyperlink w:anchor="ref-jayaram2018">
        <w:r>
          <w:rPr>
            <w:rStyle w:val="Hyperlink"/>
          </w:rPr>
          <w:t xml:space="preserve">8</w:t>
        </w:r>
      </w:hyperlink>
      <w:r>
        <w:t xml:space="preserve">]</w:t>
      </w:r>
      <w:r>
        <w:t xml:space="preserve">, not a new recording</w:t>
      </w:r>
      <w:r>
        <w:t xml:space="preserve"> </w:t>
      </w:r>
      <w:r>
        <w:t xml:space="preserve">collection or an independent reproduction of the original acquisition pipeline.</w:t>
      </w:r>
      <w:r>
        <w:t xml:space="preserve"> </w:t>
      </w:r>
      <w:r>
        <w:t xml:space="preserve">The frozen selection contained 360 EDF</w:t>
      </w:r>
      <w:r>
        <w:t xml:space="preserve"> </w:t>
      </w:r>
      <w:r>
        <w:t xml:space="preserve">recordings, 18 published participant identities, six sessions and 7,200 event</w:t>
      </w:r>
      <w:r>
        <w:t xml:space="preserve"> </w:t>
      </w:r>
      <w:r>
        <w:t xml:space="preserve">identities. Forty-four partial events were preserved in the audit but excluded</w:t>
      </w:r>
      <w:r>
        <w:t xml:space="preserve"> </w:t>
      </w:r>
      <w:r>
        <w:t xml:space="preserve">from tensors without padding or replacement, leaving 7,156 complete</w:t>
      </w:r>
      <w:r>
        <w:t xml:space="preserve"> </w:t>
      </w:r>
      <w:r>
        <w:t xml:space="preserve">five-second windows. Published identities are the statistical units; numerical</w:t>
      </w:r>
      <w:r>
        <w:t xml:space="preserve"> </w:t>
      </w:r>
      <w:r>
        <w:t xml:space="preserve">duplicate checks do not independently verify biological identity.</w:t>
      </w:r>
    </w:p>
    <w:p>
      <w:pPr>
        <w:pStyle w:val="BodyText"/>
      </w:pPr>
      <w:r>
        <w:t xml:space="preserve">Development identities were sub-1, sub-4, sub-7, sub-10, sub-13 and sub-16; the</w:t>
      </w:r>
      <w:r>
        <w:t xml:space="preserve"> </w:t>
      </w:r>
      <w:r>
        <w:t xml:space="preserve">other 12 identities formed the fixed remaining cohort. This assignment used</w:t>
      </w:r>
      <w:r>
        <w:t xml:space="preserve"> </w:t>
      </w:r>
      <w:r>
        <w:t xml:space="preserve">numeric identity order rather than performance. Session and run chronology</w:t>
      </w:r>
      <w:r>
        <w:t xml:space="preserve"> </w:t>
      </w:r>
      <w:r>
        <w:t xml:space="preserve">was checked against the derivative’s acquisition timestamps. Their calendar</w:t>
      </w:r>
      <w:r>
        <w:t xml:space="preserve"> </w:t>
      </w:r>
      <w:r>
        <w:t xml:space="preserve">accuracy was not independently established.</w:t>
      </w:r>
    </w:p>
    <w:p>
      <w:pPr>
        <w:pStyle w:val="BodyText"/>
      </w:pPr>
      <w:r>
        <w:t xml:space="preserve">In session 0, runs 0 and 1 supplied 40 source-training windows, run 2 supplied</w:t>
      </w:r>
      <w:r>
        <w:t xml:space="preserve"> </w:t>
      </w:r>
      <w:r>
        <w:t xml:space="preserve">20 source-validation windows, and run 3 supplied source query. In each of the</w:t>
      </w:r>
      <w:r>
        <w:t xml:space="preserve"> </w:t>
      </w:r>
      <w:r>
        <w:t xml:space="preserve">five later sessions, the first whole run (</w:t>
      </w:r>
      <w:r>
        <w:rPr>
          <w:rStyle w:val="VerbatimChar"/>
        </w:rPr>
        <w:t xml:space="preserve">run-0</w:t>
      </w:r>
      <w:r>
        <w:t xml:space="preserve">) was the preassigned support</w:t>
      </w:r>
      <w:r>
        <w:t xml:space="preserve"> </w:t>
      </w:r>
      <w:r>
        <w:t xml:space="preserve">run; all other runs supplied target query. Partial events were excluded without</w:t>
      </w:r>
      <w:r>
        <w:t xml:space="preserve"> </w:t>
      </w:r>
      <w:r>
        <w:t xml:space="preserve">replacing the run or filling its missing windows. The support allowance was at most 20</w:t>
      </w:r>
      <w:r>
        <w:t xml:space="preserve"> </w:t>
      </w:r>
      <w:r>
        <w:t xml:space="preserve">events and 10 per class before partial-window exclusions; actual support was</w:t>
      </w:r>
      <w:r>
        <w:t xml:space="preserve"> </w:t>
      </w:r>
      <w:r>
        <w:t xml:space="preserve">19 or 20 events: 14 of the 90 target sessions had 19 and 76 had 20, totaling</w:t>
      </w:r>
      <w:r>
        <w:t xml:space="preserve"> </w:t>
      </w:r>
      <w:r>
        <w:t xml:space="preserve">1,786 support events. Updates used source training plus current-session support,</w:t>
      </w:r>
      <w:r>
        <w:t xml:space="preserve"> </w:t>
      </w:r>
      <w:r>
        <w:t xml:space="preserve">without accumulating previous or future target sessions. The same 4,290</w:t>
      </w:r>
      <w:r>
        <w:t xml:space="preserve"> </w:t>
      </w:r>
      <w:r>
        <w:t xml:space="preserve">included query events were evaluated by the CPU methods and EEGNet: 360 source</w:t>
      </w:r>
      <w:r>
        <w:t xml:space="preserve"> </w:t>
      </w:r>
      <w:r>
        <w:t xml:space="preserve">queries and 3,930 target queries. Thirty partial query events remained excluded.</w:t>
      </w:r>
    </w:p>
    <w:bookmarkEnd w:id="24"/>
    <w:bookmarkStart w:id="25" w:name="preprocessing-and-quality-qualifications"/>
    <w:p>
      <w:pPr>
        <w:pStyle w:val="Heading2"/>
      </w:pPr>
      <w:r>
        <w:t xml:space="preserve">Preprocessing and quality qualifications</w:t>
      </w:r>
    </w:p>
    <w:p>
      <w:pPr>
        <w:pStyle w:val="FirstParagraph"/>
      </w:pPr>
      <w:r>
        <w:t xml:space="preserve">Each event independently underwent common-average referencing over 22 channels,</w:t>
      </w:r>
      <w:r>
        <w:t xml:space="preserve"> </w:t>
      </w:r>
      <w:r>
        <w:t xml:space="preserve">fourth-order 8–30 Hz Butterworth zero-phase filtering and polyphase resampling</w:t>
      </w:r>
      <w:r>
        <w:t xml:space="preserve"> </w:t>
      </w:r>
      <w:r>
        <w:t xml:space="preserve">from 512 to 128 Hz. Inputs were 22 × 640 float32 values in volts. These</w:t>
      </w:r>
      <w:r>
        <w:t xml:space="preserve"> </w:t>
      </w:r>
      <w:r>
        <w:t xml:space="preserve">epoch-local operations learned no held-out statistics. Zero-phase filtering</w:t>
      </w:r>
      <w:r>
        <w:t xml:space="preserve"> </w:t>
      </w:r>
      <w:r>
        <w:t xml:space="preserve">defines an offline analysis and does not establish real-time operation.</w:t>
      </w:r>
    </w:p>
    <w:p>
      <w:pPr>
        <w:pStyle w:val="BodyText"/>
      </w:pPr>
      <w:r>
        <w:t xml:space="preserve">A fixed 250 µV raw peak-to-peak threshold flagged 1,512 of the 7,156 complete</w:t>
      </w:r>
      <w:r>
        <w:t xml:space="preserve"> </w:t>
      </w:r>
      <w:r>
        <w:t xml:space="preserve">windows. All flagged full windows remained in the primary analysis. There was</w:t>
      </w:r>
      <w:r>
        <w:t xml:space="preserve"> </w:t>
      </w:r>
      <w:r>
        <w:t xml:space="preserve">no expert artifact certification; decoding could reflect non-neural signal</w:t>
      </w:r>
      <w:r>
        <w:t xml:space="preserve"> </w:t>
      </w:r>
      <w:r>
        <w:t xml:space="preserve">components. Native CPz reference was a source-metadata declaration, and offline</w:t>
      </w:r>
      <w:r>
        <w:t xml:space="preserve"> </w:t>
      </w:r>
      <w:r>
        <w:t xml:space="preserve">common-average referencing cannot reconstruct or independently verify the</w:t>
      </w:r>
      <w:r>
        <w:t xml:space="preserve"> </w:t>
      </w:r>
      <w:r>
        <w:t xml:space="preserve">original acquisition reference.</w:t>
      </w:r>
    </w:p>
    <w:bookmarkEnd w:id="25"/>
    <w:bookmarkStart w:id="26" w:name="decoders-and-explicit-data-budgets"/>
    <w:p>
      <w:pPr>
        <w:pStyle w:val="Heading2"/>
      </w:pPr>
      <w:r>
        <w:t xml:space="preserve">Decoders and explicit data budgets</w:t>
      </w:r>
    </w:p>
    <w:p>
      <w:pPr>
        <w:pStyle w:val="FirstParagraph"/>
      </w:pPr>
      <w:r>
        <w:t xml:space="preserve">The CPU pipeline used four-component CSP with Ledoit–Wolf regularization,</w:t>
      </w:r>
      <w:r>
        <w:t xml:space="preserve"> </w:t>
      </w:r>
      <w:r>
        <w:t xml:space="preserve">log mean-square features and</w:t>
      </w:r>
      <w:r>
        <w:t xml:space="preserve"> </w:t>
      </w:r>
      <w:r>
        <w:rPr>
          <w:rStyle w:val="VerbatimChar"/>
        </w:rPr>
        <w:t xml:space="preserve">norm_trace=False</w:t>
      </w:r>
      <w:r>
        <w:t xml:space="preserve">, followed by shrinkage LDA</w:t>
      </w:r>
      <w:r>
        <w:t xml:space="preserve"> </w:t>
      </w:r>
      <w:r>
        <w:t xml:space="preserve">(</w:t>
      </w:r>
      <w:r>
        <w:rPr>
          <w:rStyle w:val="VerbatimChar"/>
        </w:rPr>
        <w:t xml:space="preserve">solver=lsqr</w:t>
      </w:r>
      <w:r>
        <w:t xml:space="preserve">, automatic shrinkage). One prespecified configuration was used.</w:t>
      </w:r>
      <w:r>
        <w:t xml:space="preserve"> </w:t>
      </w:r>
      <w:r>
        <w:t xml:space="preserve">Source-only CSP and LDA stayed fixed. Recalibration retained source CSP and</w:t>
      </w:r>
      <w:r>
        <w:t xml:space="preserve"> </w:t>
      </w:r>
      <w:r>
        <w:t xml:space="preserve">refitted LDA with source training plus current support; full refitting updated</w:t>
      </w:r>
      <w:r>
        <w:t xml:space="preserve"> </w:t>
      </w:r>
      <w:r>
        <w:t xml:space="preserve">both stages using that same union. Validation and query identities were</w:t>
      </w:r>
      <w:r>
        <w:t xml:space="preserve"> </w:t>
      </w:r>
      <w:r>
        <w:t xml:space="preserve">excluded from all CPU fitting and parameter selection.</w:t>
      </w:r>
    </w:p>
    <w:p>
      <w:pPr>
        <w:pStyle w:val="BodyText"/>
      </w:pPr>
      <w:r>
        <w:t xml:space="preserve">EEGNet used the frozen Braindecode architecture (F1=4, D=2, F2=8, dropout 0.5),</w:t>
      </w:r>
      <w:r>
        <w:t xml:space="preserve"> </w:t>
      </w:r>
      <w:r>
        <w:t xml:space="preserve">Adam at learning rate 0.001, batch size 16 and a maximum of 100 epochs. Channel</w:t>
      </w:r>
      <w:r>
        <w:t xml:space="preserve"> </w:t>
      </w:r>
      <w:r>
        <w:t xml:space="preserve">means and scales were fitted to source training only. Source-validation</w:t>
      </w:r>
      <w:r>
        <w:t xml:space="preserve"> </w:t>
      </w:r>
      <w:r>
        <w:t xml:space="preserve">cross entropy selected the earliest best epoch with patience 15; the complete</w:t>
      </w:r>
      <w:r>
        <w:t xml:space="preserve"> </w:t>
      </w:r>
      <w:r>
        <w:t xml:space="preserve">selected state was restored. All three seeds—20261012, 20261013 and 20261014—</w:t>
      </w:r>
      <w:r>
        <w:t xml:space="preserve"> </w:t>
      </w:r>
      <w:r>
        <w:t xml:space="preserve">were retained for each participant. The 54 completed source fits used 2,871</w:t>
      </w:r>
      <w:r>
        <w:t xml:space="preserve"> </w:t>
      </w:r>
      <w:r>
        <w:t xml:space="preserve">epochs and 8,613 optimizer steps. No source fit was repeated for query evaluation.</w:t>
      </w:r>
      <w:r>
        <w:t xml:space="preserve"> </w:t>
      </w:r>
      <w:r>
        <w:t xml:space="preserve">Query inference used evaluation mode with fixed parameters, batch-normalization</w:t>
      </w:r>
      <w:r>
        <w:t xml:space="preserve"> </w:t>
      </w:r>
      <w:r>
        <w:t xml:space="preserve">buffers and normalization statistics, with zero optimizer or support updates.</w:t>
      </w:r>
    </w:p>
    <w:p>
      <w:pPr>
        <w:pStyle w:val="BodyText"/>
      </w:pPr>
      <w:r>
        <w:rPr>
          <w:b/>
          <w:bCs/>
        </w:rPr>
        <w:t xml:space="preserve">Table 1. Labeled-data use per participant.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Source optimizer/estimator training</w:t>
            </w:r>
          </w:p>
        </w:tc>
        <w:tc>
          <w:tcPr/>
          <w:p>
            <w:pPr>
              <w:pStyle w:val="Compact"/>
              <w:jc w:val="left"/>
            </w:pPr>
            <w:r>
              <w:t xml:space="preserve">Source-validation use</w:t>
            </w:r>
          </w:p>
        </w:tc>
        <w:tc>
          <w:tcPr/>
          <w:p>
            <w:pPr>
              <w:pStyle w:val="Compact"/>
              <w:jc w:val="left"/>
            </w:pPr>
            <w:r>
              <w:t xml:space="preserve">Current target support for fitting</w:t>
            </w:r>
          </w:p>
        </w:tc>
      </w:tr>
      <w:tr>
        <w:tc>
          <w:tcPr/>
          <w:p>
            <w:pPr>
              <w:pStyle w:val="Compact"/>
              <w:jc w:val="left"/>
            </w:pPr>
            <w:r>
              <w:t xml:space="preserve">Source-only CSP/LDA</w:t>
            </w:r>
          </w:p>
        </w:tc>
        <w:tc>
          <w:tcPr/>
          <w:p>
            <w:pPr>
              <w:pStyle w:val="Compact"/>
              <w:jc w:val="left"/>
            </w:pPr>
            <w:r>
              <w:t xml:space="preserve">40 labeled windows</w:t>
            </w:r>
          </w:p>
        </w:tc>
        <w:tc>
          <w:tcPr/>
          <w:p>
            <w:pPr>
              <w:pStyle w:val="Compact"/>
              <w:jc w:val="left"/>
            </w:pPr>
            <w:r>
              <w:t xml:space="preserve">No model or checkpoint selection</w:t>
            </w:r>
          </w:p>
        </w:tc>
        <w:tc>
          <w:tcPr/>
          <w:p>
            <w:pPr>
              <w:pStyle w:val="Compact"/>
              <w:jc w:val="left"/>
            </w:pPr>
            <w:r>
              <w:t xml:space="preserve">0</w:t>
            </w:r>
          </w:p>
        </w:tc>
      </w:tr>
      <w:tr>
        <w:tc>
          <w:tcPr/>
          <w:p>
            <w:pPr>
              <w:pStyle w:val="Compact"/>
              <w:jc w:val="left"/>
            </w:pPr>
            <w:r>
              <w:t xml:space="preserve">Frozen CSP + LDA recalibration</w:t>
            </w:r>
          </w:p>
        </w:tc>
        <w:tc>
          <w:tcPr/>
          <w:p>
            <w:pPr>
              <w:pStyle w:val="Compact"/>
              <w:jc w:val="left"/>
            </w:pPr>
            <w:r>
              <w:t xml:space="preserve">40 labeled windows; LDA then refitted with current support</w:t>
            </w:r>
          </w:p>
        </w:tc>
        <w:tc>
          <w:tcPr/>
          <w:p>
            <w:pPr>
              <w:pStyle w:val="Compact"/>
              <w:jc w:val="left"/>
            </w:pPr>
            <w:r>
              <w:t xml:space="preserve">No model or checkpoint selection</w:t>
            </w:r>
          </w:p>
        </w:tc>
        <w:tc>
          <w:tcPr/>
          <w:p>
            <w:pPr>
              <w:pStyle w:val="Compact"/>
              <w:jc w:val="left"/>
            </w:pPr>
            <w:r>
              <w:t xml:space="preserve">19/20 labeled windows</w:t>
            </w:r>
          </w:p>
        </w:tc>
      </w:tr>
      <w:tr>
        <w:tc>
          <w:tcPr/>
          <w:p>
            <w:pPr>
              <w:pStyle w:val="Compact"/>
              <w:jc w:val="left"/>
            </w:pPr>
            <w:r>
              <w:t xml:space="preserve">CSP/LDA refit</w:t>
            </w:r>
          </w:p>
        </w:tc>
        <w:tc>
          <w:tcPr/>
          <w:p>
            <w:pPr>
              <w:pStyle w:val="Compact"/>
              <w:jc w:val="left"/>
            </w:pPr>
            <w:r>
              <w:t xml:space="preserve">40 labeled windows; both stages then refitted with current support</w:t>
            </w:r>
          </w:p>
        </w:tc>
        <w:tc>
          <w:tcPr/>
          <w:p>
            <w:pPr>
              <w:pStyle w:val="Compact"/>
              <w:jc w:val="left"/>
            </w:pPr>
            <w:r>
              <w:t xml:space="preserve">No model or checkpoint selection</w:t>
            </w:r>
          </w:p>
        </w:tc>
        <w:tc>
          <w:tcPr/>
          <w:p>
            <w:pPr>
              <w:pStyle w:val="Compact"/>
              <w:jc w:val="left"/>
            </w:pPr>
            <w:r>
              <w:t xml:space="preserve">19/20 labeled windows</w:t>
            </w:r>
          </w:p>
        </w:tc>
      </w:tr>
      <w:tr>
        <w:tc>
          <w:tcPr/>
          <w:p>
            <w:pPr>
              <w:pStyle w:val="Compact"/>
              <w:jc w:val="left"/>
            </w:pPr>
            <w:r>
              <w:t xml:space="preserve">Always-frozen EEGNet</w:t>
            </w:r>
          </w:p>
        </w:tc>
        <w:tc>
          <w:tcPr/>
          <w:p>
            <w:pPr>
              <w:pStyle w:val="Compact"/>
              <w:jc w:val="left"/>
            </w:pPr>
            <w:r>
              <w:t xml:space="preserve">40 labeled windows per seed</w:t>
            </w:r>
          </w:p>
        </w:tc>
        <w:tc>
          <w:tcPr/>
          <w:p>
            <w:pPr>
              <w:pStyle w:val="Compact"/>
              <w:jc w:val="left"/>
            </w:pPr>
            <w:r>
              <w:t xml:space="preserve">20 labeled windows select stopping epoch</w:t>
            </w:r>
          </w:p>
        </w:tc>
        <w:tc>
          <w:tcPr/>
          <w:p>
            <w:pPr>
              <w:pStyle w:val="Compact"/>
              <w:jc w:val="left"/>
            </w:pPr>
            <w:r>
              <w:t xml:space="preserve">0</w:t>
            </w:r>
          </w:p>
        </w:tc>
      </w:tr>
    </w:tbl>
    <w:p>
      <w:pPr>
        <w:pStyle w:val="BodyText"/>
      </w:pPr>
      <w:r>
        <w:t xml:space="preserve">Thus the two CPU update methods share the same adaptation label budget. Their</w:t>
      </w:r>
      <w:r>
        <w:t xml:space="preserve"> </w:t>
      </w:r>
      <w:r>
        <w:t xml:space="preserve">comparison with the frozen CPU model measures performance after adding the</w:t>
      </w:r>
      <w:r>
        <w:t xml:space="preserve"> </w:t>
      </w:r>
      <w:r>
        <w:t xml:space="preserve">specified support labels. Identical query samples do not make EEGNet and CPU</w:t>
      </w:r>
      <w:r>
        <w:t xml:space="preserve"> </w:t>
      </w:r>
      <w:r>
        <w:t xml:space="preserve">methods equal-budget architecture comparisons: EEGNet additionally uses the</w:t>
      </w:r>
      <w:r>
        <w:t xml:space="preserve"> </w:t>
      </w:r>
      <w:r>
        <w:t xml:space="preserve">source-validation labels for epoch selection, and only the CPU update methods</w:t>
      </w:r>
      <w:r>
        <w:t xml:space="preserve"> </w:t>
      </w:r>
      <w:r>
        <w:t xml:space="preserve">use target labels. No causal architecture or compute-efficiency ranking is</w:t>
      </w:r>
      <w:r>
        <w:t xml:space="preserve"> </w:t>
      </w:r>
      <w:r>
        <w:t xml:space="preserve">inferred from these differences. The architecture and implementation follow</w:t>
      </w:r>
      <w:r>
        <w:t xml:space="preserve"> </w:t>
      </w:r>
      <w:r>
        <w:t xml:space="preserve">EEGNet and Braindecode</w:t>
      </w:r>
      <w:r>
        <w:t xml:space="preserve"> </w:t>
      </w:r>
      <w:r>
        <w:t xml:space="preserve">[</w:t>
      </w:r>
      <w:hyperlink w:anchor="ref-lawhern2018">
        <w:r>
          <w:rPr>
            <w:rStyle w:val="Hyperlink"/>
          </w:rPr>
          <w:t xml:space="preserve">4</w:t>
        </w:r>
      </w:hyperlink>
      <w:r>
        <w:t xml:space="preserve">,</w:t>
      </w:r>
      <w:hyperlink w:anchor="ref-schirrmeister2017">
        <w:r>
          <w:rPr>
            <w:rStyle w:val="Hyperlink"/>
          </w:rPr>
          <w:t xml:space="preserve">9</w:t>
        </w:r>
      </w:hyperlink>
      <w:r>
        <w:t xml:space="preserve">]</w:t>
      </w:r>
      <w:r>
        <w:t xml:space="preserve">; the exact executed</w:t>
      </w:r>
      <w:r>
        <w:t xml:space="preserve"> </w:t>
      </w:r>
      <w:r>
        <w:t xml:space="preserve">constructor and optimization settings are listed in Supplementary Methods S3.</w:t>
      </w:r>
      <w:r>
        <w:t xml:space="preserve"> </w:t>
      </w:r>
      <w:r>
        <w:t xml:space="preserve">The covariance regularization and LDA settings are implementation choices of</w:t>
      </w:r>
      <w:r>
        <w:t xml:space="preserve"> </w:t>
      </w:r>
      <w:r>
        <w:t xml:space="preserve">the frozen pipeline, rather than parameters selected using target outcomes</w:t>
      </w:r>
      <w:r>
        <w:t xml:space="preserve"> </w:t>
      </w:r>
      <w:r>
        <w:t xml:space="preserve">[</w:t>
      </w:r>
      <w:hyperlink w:anchor="ref-ledoit2004">
        <w:r>
          <w:rPr>
            <w:rStyle w:val="Hyperlink"/>
          </w:rPr>
          <w:t xml:space="preserve">10</w:t>
        </w:r>
      </w:hyperlink>
      <w:r>
        <w:t xml:space="preserve">]</w:t>
      </w:r>
      <w:r>
        <w:t xml:space="preserve">.</w:t>
      </w:r>
    </w:p>
    <w:bookmarkEnd w:id="26"/>
    <w:bookmarkStart w:id="27" w:name="endpoints-and-statistical-units"/>
    <w:p>
      <w:pPr>
        <w:pStyle w:val="Heading2"/>
      </w:pPr>
      <w:r>
        <w:t xml:space="preserve">Endpoints and statistical units</w:t>
      </w:r>
    </w:p>
    <w:p>
      <w:pPr>
        <w:pStyle w:val="FirstParagraph"/>
      </w:pPr>
      <w:r>
        <w:t xml:space="preserve">Balanced accuracy (BA) was the mean of the two class recalls. The primary</w:t>
      </w:r>
      <w:r>
        <w:t xml:space="preserve"> </w:t>
      </w:r>
      <w:r>
        <w:t xml:space="preserve">endpoint was each participant’s mean BA over its five target sessions. The</w:t>
      </w:r>
      <w:r>
        <w:t xml:space="preserve"> </w:t>
      </w:r>
      <w:r>
        <w:t xml:space="preserve">primary contrast remained full CSP/LDA refitting minus source-only CSP/LDA in</w:t>
      </w:r>
      <w:r>
        <w:t xml:space="preserve"> </w:t>
      </w:r>
      <w:r>
        <w:t xml:space="preserve">the fixed remaining 12 identities. For EEGNet, all three seed scores were</w:t>
      </w:r>
      <w:r>
        <w:t xml:space="preserve"> </w:t>
      </w:r>
      <w:r>
        <w:t xml:space="preserve">averaged within participant/session before the five target sessions were</w:t>
      </w:r>
      <w:r>
        <w:t xml:space="preserve"> </w:t>
      </w:r>
      <w:r>
        <w:t xml:space="preserve">averaged within participant. Source query was reported separately. Neither</w:t>
      </w:r>
      <w:r>
        <w:t xml:space="preserve"> </w:t>
      </w:r>
      <w:r>
        <w:t xml:space="preserve">seeds, sessions nor trials increased the independent participant count.</w:t>
      </w:r>
    </w:p>
    <w:p>
      <w:pPr>
        <w:pStyle w:val="BodyText"/>
      </w:pPr>
      <w:r>
        <w:t xml:space="preserve">Balanced-accuracy and participant-mean reliability summaries used 10,000</w:t>
      </w:r>
      <w:r>
        <w:t xml:space="preserve"> </w:t>
      </w:r>
      <w:r>
        <w:t xml:space="preserve">participant resamples with seed 42 for descriptive 95% percentile intervals;</w:t>
      </w:r>
      <w:r>
        <w:t xml:space="preserve"> </w:t>
      </w:r>
      <w:r>
        <w:t xml:space="preserve">paired CPU contrasts resampled paired participant differences. The separately</w:t>
      </w:r>
      <w:r>
        <w:t xml:space="preserve"> </w:t>
      </w:r>
      <w:r>
        <w:t xml:space="preserve">prespecified session-level drift associations used 2,000 participant-block</w:t>
      </w:r>
      <w:r>
        <w:t xml:space="preserve"> </w:t>
      </w:r>
      <w:r>
        <w:t xml:space="preserve">resamples with seed 42, retaining each sampled participant’s five sessions.</w:t>
      </w:r>
      <w:r>
        <w:t xml:space="preserve"> </w:t>
      </w:r>
      <w:r>
        <w:t xml:space="preserve">Development and remaining cohorts were reported separately; all-18 summaries</w:t>
      </w:r>
      <w:r>
        <w:t xml:space="preserve"> </w:t>
      </w:r>
      <w:r>
        <w:t xml:space="preserve">were secondary. Cohort intervals containing 50% were not converted into a</w:t>
      </w:r>
      <w:r>
        <w:t xml:space="preserve"> </w:t>
      </w:r>
      <w:r>
        <w:t xml:space="preserve">new formal chance hypothesis test. Previously exposed test results preclude</w:t>
      </w:r>
      <w:r>
        <w:t xml:space="preserve"> </w:t>
      </w:r>
      <w:r>
        <w:t xml:space="preserve">describing subsequent same-dataset evaluations as untouched external confirmation.</w:t>
      </w:r>
      <w:r>
        <w:t xml:space="preserve"> </w:t>
      </w:r>
      <w:r>
        <w:t xml:space="preserve">Intervals condition on the observed cohort, preprocessing and fitted models;</w:t>
      </w:r>
      <w:r>
        <w:t xml:space="preserve"> </w:t>
      </w:r>
      <w:r>
        <w:t xml:space="preserve">they do not estimate uncertainty from alternative training datasets or</w:t>
      </w:r>
      <w:r>
        <w:t xml:space="preserve"> </w:t>
      </w:r>
      <w:r>
        <w:t xml:space="preserve">hyperparameter choices. No additional EEGNet-versus-CPU significance test was</w:t>
      </w:r>
      <w:r>
        <w:t xml:space="preserve"> </w:t>
      </w:r>
      <w:r>
        <w:t xml:space="preserve">introduced. Computational repetition and seeds do not supply new participants.</w:t>
      </w:r>
    </w:p>
    <w:bookmarkEnd w:id="27"/>
    <w:bookmarkStart w:id="28" w:name="Xcf89b080de4a792f3f386f7e7a17e2c6fdb7eda"/>
    <w:p>
      <w:pPr>
        <w:pStyle w:val="Heading2"/>
      </w:pPr>
      <w:r>
        <w:t xml:space="preserve">Prespecified drift measures and development-only reliability probes</w:t>
      </w:r>
    </w:p>
    <w:p>
      <w:pPr>
        <w:pStyle w:val="FirstParagraph"/>
      </w:pPr>
      <w:r>
        <w:t xml:space="preserve">The descriptive drift analysis compared each target session with the independent</w:t>
      </w:r>
      <w:r>
        <w:t xml:space="preserve"> </w:t>
      </w:r>
      <w:r>
        <w:t xml:space="preserve">source query. A source-trained task axis was the normalized difference between</w:t>
      </w:r>
      <w:r>
        <w:t xml:space="preserve"> </w:t>
      </w:r>
      <w:r>
        <w:t xml:space="preserve">class means in standardized 44-dimensional mu/beta log-power coordinates;</w:t>
      </w:r>
      <w:r>
        <w:t xml:space="preserve"> </w:t>
      </w:r>
      <w:r>
        <w:t xml:space="preserve">one-dimensional Wasserstein distance measured change along that fixed axis.</w:t>
      </w:r>
      <w:r>
        <w:t xml:space="preserve"> </w:t>
      </w:r>
      <w:r>
        <w:t xml:space="preserve">Covariance-shape change was measured relative to a source-training Riemannian</w:t>
      </w:r>
      <w:r>
        <w:t xml:space="preserve"> </w:t>
      </w:r>
      <w:r>
        <w:t xml:space="preserve">reference in a fixed 21-dimensional common-average-reference basis, after trace</w:t>
      </w:r>
      <w:r>
        <w:t xml:space="preserve"> </w:t>
      </w:r>
      <w:r>
        <w:t xml:space="preserve">normalization and fixed shrinkage. This shape proxy does not measure all</w:t>
      </w:r>
      <w:r>
        <w:t xml:space="preserve"> </w:t>
      </w:r>
      <w:r>
        <w:t xml:space="preserve">distributional changes or absolute amplitude. Target labels did not define</w:t>
      </w:r>
      <w:r>
        <w:t xml:space="preserve"> </w:t>
      </w:r>
      <w:r>
        <w:t xml:space="preserve">either drift predictor. The outcome was target-minus-source frozen-decoder BA;</w:t>
      </w:r>
      <w:r>
        <w:t xml:space="preserve"> </w:t>
      </w:r>
      <w:r>
        <w:t xml:space="preserve">target-labeled class summaries were explicitly retrospective descriptions.</w:t>
      </w:r>
    </w:p>
    <w:p>
      <w:pPr>
        <w:pStyle w:val="BodyText"/>
      </w:pPr>
      <w:r>
        <w:t xml:space="preserve">The task-measurement reliability probes used only development source training</w:t>
      </w:r>
      <w:r>
        <w:t xml:space="preserve"> </w:t>
      </w:r>
      <w:r>
        <w:t xml:space="preserve">and predeclared support. Fixed power, PCA and supervised CSP-score measurements</w:t>
      </w:r>
      <w:r>
        <w:t xml:space="preserve"> </w:t>
      </w:r>
      <w:r>
        <w:t xml:space="preserve">were evaluated with source-run grouping, support split halves and cyclic-label</w:t>
      </w:r>
      <w:r>
        <w:t xml:space="preserve"> </w:t>
      </w:r>
      <w:r>
        <w:t xml:space="preserve">controls. The controls are phase-alignment sensitivities, not formal</w:t>
      </w:r>
      <w:r>
        <w:t xml:space="preserve"> </w:t>
      </w:r>
      <w:r>
        <w:t xml:space="preserve">permutation p values. Separately, the remaining-cohort drift associations were</w:t>
      </w:r>
      <w:r>
        <w:t xml:space="preserve"> </w:t>
      </w:r>
      <w:r>
        <w:t xml:space="preserve">pre-frozen descriptive analyses, not policy selection. No diagnostic selected</w:t>
      </w:r>
      <w:r>
        <w:t xml:space="preserve"> </w:t>
      </w:r>
      <w:r>
        <w:t xml:space="preserve">an adaptation threshold or used query outcomes to choose a policy.</w:t>
      </w:r>
    </w:p>
    <w:p>
      <w:pPr>
        <w:pStyle w:val="BodyText"/>
      </w:pPr>
      <w:r>
        <w:t xml:space="preserve">Source-run probes trained on one 20-event source run and evaluated the other,</w:t>
      </w:r>
      <w:r>
        <w:t xml:space="preserve"> </w:t>
      </w:r>
      <w:r>
        <w:t xml:space="preserve">then reversed the roles. Learned transformations were fitted within each source</w:t>
      </w:r>
      <w:r>
        <w:t xml:space="preserve"> </w:t>
      </w:r>
      <w:r>
        <w:t xml:space="preserve">training fold; a transform fitted on all 40 events was not reused to score a</w:t>
      </w:r>
      <w:r>
        <w:t xml:space="preserve"> </w:t>
      </w:r>
      <w:r>
        <w:t xml:space="preserve">held-out source run. The supervised diagnostic refitted both CSP and LDA within</w:t>
      </w:r>
      <w:r>
        <w:t xml:space="preserve"> </w:t>
      </w:r>
      <w:r>
        <w:t xml:space="preserve">each fold. For support descriptions, the existing 40-event source models and</w:t>
      </w:r>
      <w:r>
        <w:t xml:space="preserve"> </w:t>
      </w:r>
      <w:r>
        <w:t xml:space="preserve">source-fitted coordinate scales were held fixed. Each class was split into</w:t>
      </w:r>
      <w:r>
        <w:t xml:space="preserve"> </w:t>
      </w:r>
      <w:r>
        <w:t xml:space="preserve">chronological halves within the current support run, without query access.</w:t>
      </w:r>
      <w:r>
        <w:t xml:space="preserve"> </w:t>
      </w:r>
      <w:r>
        <w:t xml:space="preserve">Vector cosines and signed source-score contrasts summarized agreement between</w:t>
      </w:r>
      <w:r>
        <w:t xml:space="preserve"> </w:t>
      </w:r>
      <w:r>
        <w:t xml:space="preserve">the halves; agreement did not itself establish a useful adaptation decision.</w:t>
      </w:r>
    </w:p>
    <w:p>
      <w:pPr>
        <w:pStyle w:val="BodyText"/>
      </w:pPr>
      <w:r>
        <w:t xml:space="preserve">Cyclic label controls retained the prescribed run grouping and enumerated</w:t>
      </w:r>
      <w:r>
        <w:t xml:space="preserve"> </w:t>
      </w:r>
      <w:r>
        <w:t xml:space="preserve">label phases. They were not random-label exchangeability tests. All 240</w:t>
      </w:r>
      <w:r>
        <w:t xml:space="preserve"> </w:t>
      </w:r>
      <w:r>
        <w:t xml:space="preserve">supervised CSP/LDA fold/rotation pipelines and all associated controls were</w:t>
      </w:r>
      <w:r>
        <w:t xml:space="preserve"> </w:t>
      </w:r>
      <w:r>
        <w:t xml:space="preserve">retained. Supplementary Methods S4–S6 define the coordinate scales, half sizes,</w:t>
      </w:r>
      <w:r>
        <w:t xml:space="preserve"> </w:t>
      </w:r>
      <w:r>
        <w:t xml:space="preserve">score orientation, control enumeration and handling of degenerate cases.</w:t>
      </w:r>
    </w:p>
    <w:bookmarkEnd w:id="28"/>
    <w:bookmarkEnd w:id="29"/>
    <w:bookmarkStart w:id="33" w:name="results"/>
    <w:p>
      <w:pPr>
        <w:pStyle w:val="Heading1"/>
      </w:pPr>
      <w:r>
        <w:t xml:space="preserve">Results</w:t>
      </w:r>
    </w:p>
    <w:bookmarkStart w:id="30" w:name="Xc80f26bdd67976b1880f445c676473462044076"/>
    <w:p>
      <w:pPr>
        <w:pStyle w:val="Heading2"/>
      </w:pPr>
      <w:r>
        <w:t xml:space="preserve">Conventional CPU recalibration and the frozen neural baseline</w:t>
      </w:r>
    </w:p>
    <w:p>
      <w:pPr>
        <w:pStyle w:val="FirstParagraph"/>
      </w:pPr>
      <w:r>
        <w:t xml:space="preserve">Table 2 reports equally weighted participant target-session endpoints, rounded</w:t>
      </w:r>
      <w:r>
        <w:t xml:space="preserve"> </w:t>
      </w:r>
      <w:r>
        <w:t xml:space="preserve">to two decimal places; exact values remain in the linked machine-readable</w:t>
      </w:r>
      <w:r>
        <w:t xml:space="preserve"> </w:t>
      </w:r>
      <w:r>
        <w:t xml:space="preserve">saved-result comparison. CPU values derive from the original executed baseline</w:t>
      </w:r>
      <w:r>
        <w:t xml:space="preserve"> </w:t>
      </w:r>
      <w:r>
        <w:t xml:space="preserve">results; the newly tabulated all-18 combination and descriptive intervals do</w:t>
      </w:r>
      <w:r>
        <w:t xml:space="preserve"> </w:t>
      </w:r>
      <w:r>
        <w:t xml:space="preserve">not replace the original primary contrast. All three EEGNet seeds contribute</w:t>
      </w:r>
      <w:r>
        <w:t xml:space="preserve"> </w:t>
      </w:r>
      <w:r>
        <w:t xml:space="preserve">to every participant endpoint. Every bracketed interval is a descriptive 95%</w:t>
      </w:r>
      <w:r>
        <w:t xml:space="preserve"> </w:t>
      </w:r>
      <w:r>
        <w:t xml:space="preserve">participant-bootstrap interval.</w:t>
      </w:r>
    </w:p>
    <w:p>
      <w:pPr>
        <w:pStyle w:val="BodyText"/>
      </w:pPr>
      <w:r>
        <w:rPr>
          <w:b/>
          <w:bCs/>
        </w:rPr>
        <w:t xml:space="preserve">Table 2. Target-query balanced accuracy (%, mean across five sessions within participant).</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Cohort</w:t>
            </w:r>
          </w:p>
        </w:tc>
        <w:tc>
          <w:tcPr/>
          <w:p>
            <w:pPr>
              <w:pStyle w:val="Compact"/>
              <w:jc w:val="right"/>
            </w:pPr>
            <w:r>
              <w:t xml:space="preserve">Participants</w:t>
            </w:r>
          </w:p>
        </w:tc>
        <w:tc>
          <w:tcPr/>
          <w:p>
            <w:pPr>
              <w:pStyle w:val="Compact"/>
              <w:jc w:val="right"/>
            </w:pPr>
            <w:r>
              <w:t xml:space="preserve">Source-only CSP/LDA</w:t>
            </w:r>
          </w:p>
        </w:tc>
        <w:tc>
          <w:tcPr/>
          <w:p>
            <w:pPr>
              <w:pStyle w:val="Compact"/>
              <w:jc w:val="right"/>
            </w:pPr>
            <w:r>
              <w:t xml:space="preserve">Frozen CSP + LDA recalibration</w:t>
            </w:r>
          </w:p>
        </w:tc>
        <w:tc>
          <w:tcPr/>
          <w:p>
            <w:pPr>
              <w:pStyle w:val="Compact"/>
              <w:jc w:val="right"/>
            </w:pPr>
            <w:r>
              <w:t xml:space="preserve">CSP/LDA refit</w:t>
            </w:r>
          </w:p>
        </w:tc>
        <w:tc>
          <w:tcPr/>
          <w:p>
            <w:pPr>
              <w:pStyle w:val="Compact"/>
              <w:jc w:val="right"/>
            </w:pPr>
            <w:r>
              <w:t xml:space="preserve">Always-frozen EEGNet</w:t>
            </w:r>
          </w:p>
        </w:tc>
      </w:tr>
      <w:tr>
        <w:tc>
          <w:tcPr/>
          <w:p>
            <w:pPr>
              <w:pStyle w:val="Compact"/>
              <w:jc w:val="left"/>
            </w:pPr>
            <w:r>
              <w:t xml:space="preserve">Development</w:t>
            </w:r>
          </w:p>
        </w:tc>
        <w:tc>
          <w:tcPr/>
          <w:p>
            <w:pPr>
              <w:pStyle w:val="Compact"/>
              <w:jc w:val="right"/>
            </w:pPr>
            <w:r>
              <w:t xml:space="preserve">6</w:t>
            </w:r>
          </w:p>
        </w:tc>
        <w:tc>
          <w:tcPr/>
          <w:p>
            <w:pPr>
              <w:pStyle w:val="Compact"/>
              <w:jc w:val="right"/>
            </w:pPr>
            <w:r>
              <w:t xml:space="preserve">59.97 [57.34, 63.70]</w:t>
            </w:r>
          </w:p>
        </w:tc>
        <w:tc>
          <w:tcPr/>
          <w:p>
            <w:pPr>
              <w:pStyle w:val="Compact"/>
              <w:jc w:val="right"/>
            </w:pPr>
            <w:r>
              <w:t xml:space="preserve">64.37 [56.97, 71.75]</w:t>
            </w:r>
          </w:p>
        </w:tc>
        <w:tc>
          <w:tcPr/>
          <w:p>
            <w:pPr>
              <w:pStyle w:val="Compact"/>
              <w:jc w:val="right"/>
            </w:pPr>
            <w:r>
              <w:t xml:space="preserve">63.22 [58.36, 67.40]</w:t>
            </w:r>
          </w:p>
        </w:tc>
        <w:tc>
          <w:tcPr/>
          <w:p>
            <w:pPr>
              <w:pStyle w:val="Compact"/>
              <w:jc w:val="right"/>
            </w:pPr>
            <w:r>
              <w:t xml:space="preserve">52.31 [48.43, 57.36]</w:t>
            </w:r>
          </w:p>
        </w:tc>
      </w:tr>
      <w:tr>
        <w:tc>
          <w:tcPr/>
          <w:p>
            <w:pPr>
              <w:pStyle w:val="Compact"/>
              <w:jc w:val="left"/>
            </w:pPr>
            <w:r>
              <w:t xml:space="preserve">Fixed remaining cohort</w:t>
            </w:r>
          </w:p>
        </w:tc>
        <w:tc>
          <w:tcPr/>
          <w:p>
            <w:pPr>
              <w:pStyle w:val="Compact"/>
              <w:jc w:val="right"/>
            </w:pPr>
            <w:r>
              <w:t xml:space="preserve">12</w:t>
            </w:r>
          </w:p>
        </w:tc>
        <w:tc>
          <w:tcPr/>
          <w:p>
            <w:pPr>
              <w:pStyle w:val="Compact"/>
              <w:jc w:val="right"/>
            </w:pPr>
            <w:r>
              <w:t xml:space="preserve">57.94 [52.65, 63.84]</w:t>
            </w:r>
          </w:p>
        </w:tc>
        <w:tc>
          <w:tcPr/>
          <w:p>
            <w:pPr>
              <w:pStyle w:val="Compact"/>
              <w:jc w:val="right"/>
            </w:pPr>
            <w:r>
              <w:t xml:space="preserve">59.89 [54.30, 65.68]</w:t>
            </w:r>
          </w:p>
        </w:tc>
        <w:tc>
          <w:tcPr/>
          <w:p>
            <w:pPr>
              <w:pStyle w:val="Compact"/>
              <w:jc w:val="right"/>
            </w:pPr>
            <w:r>
              <w:t xml:space="preserve">65.36 [59.81, 70.90]</w:t>
            </w:r>
          </w:p>
        </w:tc>
        <w:tc>
          <w:tcPr/>
          <w:p>
            <w:pPr>
              <w:pStyle w:val="Compact"/>
              <w:jc w:val="right"/>
            </w:pPr>
            <w:r>
              <w:t xml:space="preserve">51.58 [49.08, 54.51]</w:t>
            </w:r>
          </w:p>
        </w:tc>
      </w:tr>
      <w:tr>
        <w:tc>
          <w:tcPr/>
          <w:p>
            <w:pPr>
              <w:pStyle w:val="Compact"/>
              <w:jc w:val="left"/>
            </w:pPr>
            <w:r>
              <w:t xml:space="preserve">All identities, secondary</w:t>
            </w:r>
          </w:p>
        </w:tc>
        <w:tc>
          <w:tcPr/>
          <w:p>
            <w:pPr>
              <w:pStyle w:val="Compact"/>
              <w:jc w:val="right"/>
            </w:pPr>
            <w:r>
              <w:t xml:space="preserve">18</w:t>
            </w:r>
          </w:p>
        </w:tc>
        <w:tc>
          <w:tcPr/>
          <w:p>
            <w:pPr>
              <w:pStyle w:val="Compact"/>
              <w:jc w:val="right"/>
            </w:pPr>
            <w:r>
              <w:t xml:space="preserve">58.62 [54.88, 62.68]</w:t>
            </w:r>
          </w:p>
        </w:tc>
        <w:tc>
          <w:tcPr/>
          <w:p>
            <w:pPr>
              <w:pStyle w:val="Compact"/>
              <w:jc w:val="right"/>
            </w:pPr>
            <w:r>
              <w:t xml:space="preserve">61.38 [56.79, 66.17]</w:t>
            </w:r>
          </w:p>
        </w:tc>
        <w:tc>
          <w:tcPr/>
          <w:p>
            <w:pPr>
              <w:pStyle w:val="Compact"/>
              <w:jc w:val="right"/>
            </w:pPr>
            <w:r>
              <w:t xml:space="preserve">64.65 [60.53, 68.71]</w:t>
            </w:r>
          </w:p>
        </w:tc>
        <w:tc>
          <w:tcPr/>
          <w:p>
            <w:pPr>
              <w:pStyle w:val="Compact"/>
              <w:jc w:val="right"/>
            </w:pPr>
            <w:r>
              <w:t xml:space="preserve">51.82 [49.59, 54.36]</w:t>
            </w:r>
          </w:p>
        </w:tc>
      </w:tr>
    </w:tbl>
    <w:p>
      <w:pPr>
        <w:pStyle w:val="BodyText"/>
      </w:pPr>
      <w:r>
        <w:t xml:space="preserve">The original primary paired CPU contrast was +7.42 percentage points</w:t>
      </w:r>
      <w:r>
        <w:t xml:space="preserve"> </w:t>
      </w:r>
      <w:r>
        <w:t xml:space="preserve">[+2.49, +12.48] in the 12-participant cohort. Nine participants improved and</w:t>
      </w:r>
      <w:r>
        <w:t xml:space="preserve"> </w:t>
      </w:r>
      <w:r>
        <w:t xml:space="preserve">three worsened. The development contrast was +3.25 points [−0.90, +7.14].</w:t>
      </w:r>
      <w:r>
        <w:t xml:space="preserve"> </w:t>
      </w:r>
      <w:r>
        <w:t xml:space="preserve">In secondary remaining-cohort contrasts, LDA recalibration minus source-only</w:t>
      </w:r>
      <w:r>
        <w:t xml:space="preserve"> </w:t>
      </w:r>
      <w:r>
        <w:t xml:space="preserve">was +1.95 points [−0.98, +5.09], and full refitting minus LDA recalibration was</w:t>
      </w:r>
      <w:r>
        <w:t xml:space="preserve"> </w:t>
      </w:r>
      <w:r>
        <w:t xml:space="preserve">+5.47 points [+2.17, +8.91]. These secondary intervals do not provide a</w:t>
      </w:r>
      <w:r>
        <w:t xml:space="preserve"> </w:t>
      </w:r>
      <w:r>
        <w:t xml:space="preserve">multiplicity-adjusted confirmatory claim. The two update methods had the same</w:t>
      </w:r>
      <w:r>
        <w:t xml:space="preserve"> </w:t>
      </w:r>
      <w:r>
        <w:t xml:space="preserve">source and support label budget, so their difference is informative within the</w:t>
      </w:r>
      <w:r>
        <w:t xml:space="preserve"> </w:t>
      </w:r>
      <w:r>
        <w:t xml:space="preserve">frozen CPU comparison.</w:t>
      </w:r>
    </w:p>
    <w:p>
      <w:pPr>
        <w:pStyle w:val="BodyText"/>
      </w:pPr>
      <w:r>
        <w:t xml:space="preserve">The all-18 row is a secondary combination rather than a new test cohort.</w:t>
      </w:r>
      <w:r>
        <w:t xml:space="preserve"> </w:t>
      </w:r>
      <w:r>
        <w:t xml:space="preserve">Table 3 keeps source query separate from the target endpoint. The three CPU</w:t>
      </w:r>
      <w:r>
        <w:t xml:space="preserve"> </w:t>
      </w:r>
      <w:r>
        <w:t xml:space="preserve">method labels use the same unchanged source-fit model at source query;</w:t>
      </w:r>
      <w:r>
        <w:t xml:space="preserve"> </w:t>
      </w:r>
      <w:r>
        <w:t xml:space="preserve">these are not three independent source estimates. All EEGNet target-cohort</w:t>
      </w:r>
      <w:r>
        <w:t xml:space="preserve"> </w:t>
      </w:r>
      <w:r>
        <w:t xml:space="preserve">intervals included 50%. Under the specified source-only protocol, the neural baseline</w:t>
      </w:r>
      <w:r>
        <w:t xml:space="preserve"> </w:t>
      </w:r>
      <w:r>
        <w:t xml:space="preserve">therefore showed weak average transfer rather than an established advantage.</w:t>
      </w:r>
      <w:r>
        <w:t xml:space="preserve"> </w:t>
      </w:r>
      <w:r>
        <w:t xml:space="preserve">This is not evidence that other architectures, training budgets or methods</w:t>
      </w:r>
      <w:r>
        <w:t xml:space="preserve"> </w:t>
      </w:r>
      <w:r>
        <w:t xml:space="preserve">cannot decode these data.</w:t>
      </w:r>
    </w:p>
    <w:p>
      <w:pPr>
        <w:pStyle w:val="BodyText"/>
      </w:pPr>
      <w:r>
        <w:rPr>
          <w:b/>
          <w:bCs/>
        </w:rPr>
        <w:t xml:space="preserve">Table 3. Source-query balanced accuracy (%, participant mean and descriptive 95% interval).</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Cohort</w:t>
            </w:r>
          </w:p>
        </w:tc>
        <w:tc>
          <w:tcPr/>
          <w:p>
            <w:pPr>
              <w:pStyle w:val="Compact"/>
              <w:jc w:val="right"/>
            </w:pPr>
            <w:r>
              <w:t xml:space="preserve">Participants</w:t>
            </w:r>
          </w:p>
        </w:tc>
        <w:tc>
          <w:tcPr/>
          <w:p>
            <w:pPr>
              <w:pStyle w:val="Compact"/>
              <w:jc w:val="right"/>
            </w:pPr>
            <w:r>
              <w:t xml:space="preserve">CPU source model, shared by the three method labels</w:t>
            </w:r>
          </w:p>
        </w:tc>
        <w:tc>
          <w:tcPr/>
          <w:p>
            <w:pPr>
              <w:pStyle w:val="Compact"/>
              <w:jc w:val="right"/>
            </w:pPr>
            <w:r>
              <w:t xml:space="preserve">Always-frozen EEGNet</w:t>
            </w:r>
          </w:p>
        </w:tc>
      </w:tr>
      <w:tr>
        <w:tc>
          <w:tcPr/>
          <w:p>
            <w:pPr>
              <w:pStyle w:val="Compact"/>
              <w:jc w:val="left"/>
            </w:pPr>
            <w:r>
              <w:t xml:space="preserve">Development</w:t>
            </w:r>
          </w:p>
        </w:tc>
        <w:tc>
          <w:tcPr/>
          <w:p>
            <w:pPr>
              <w:pStyle w:val="Compact"/>
              <w:jc w:val="right"/>
            </w:pPr>
            <w:r>
              <w:t xml:space="preserve">6</w:t>
            </w:r>
          </w:p>
        </w:tc>
        <w:tc>
          <w:tcPr/>
          <w:p>
            <w:pPr>
              <w:pStyle w:val="Compact"/>
              <w:jc w:val="right"/>
            </w:pPr>
            <w:r>
              <w:t xml:space="preserve">60.83 [54.17, 68.33]</w:t>
            </w:r>
          </w:p>
        </w:tc>
        <w:tc>
          <w:tcPr/>
          <w:p>
            <w:pPr>
              <w:pStyle w:val="Compact"/>
              <w:jc w:val="right"/>
            </w:pPr>
            <w:r>
              <w:t xml:space="preserve">52.78 [47.50, 59.44]</w:t>
            </w:r>
          </w:p>
        </w:tc>
      </w:tr>
      <w:tr>
        <w:tc>
          <w:tcPr/>
          <w:p>
            <w:pPr>
              <w:pStyle w:val="Compact"/>
              <w:jc w:val="left"/>
            </w:pPr>
            <w:r>
              <w:t xml:space="preserve">Fixed remaining cohort</w:t>
            </w:r>
          </w:p>
        </w:tc>
        <w:tc>
          <w:tcPr/>
          <w:p>
            <w:pPr>
              <w:pStyle w:val="Compact"/>
              <w:jc w:val="right"/>
            </w:pPr>
            <w:r>
              <w:t xml:space="preserve">12</w:t>
            </w:r>
          </w:p>
        </w:tc>
        <w:tc>
          <w:tcPr/>
          <w:p>
            <w:pPr>
              <w:pStyle w:val="Compact"/>
              <w:jc w:val="right"/>
            </w:pPr>
            <w:r>
              <w:t xml:space="preserve">65.00 [56.67, 74.17]</w:t>
            </w:r>
          </w:p>
        </w:tc>
        <w:tc>
          <w:tcPr/>
          <w:p>
            <w:pPr>
              <w:pStyle w:val="Compact"/>
              <w:jc w:val="right"/>
            </w:pPr>
            <w:r>
              <w:t xml:space="preserve">52.92 [48.89, 58.75]</w:t>
            </w:r>
          </w:p>
        </w:tc>
      </w:tr>
      <w:tr>
        <w:tc>
          <w:tcPr/>
          <w:p>
            <w:pPr>
              <w:pStyle w:val="Compact"/>
              <w:jc w:val="left"/>
            </w:pPr>
            <w:r>
              <w:t xml:space="preserve">All identities, secondary</w:t>
            </w:r>
          </w:p>
        </w:tc>
        <w:tc>
          <w:tcPr/>
          <w:p>
            <w:pPr>
              <w:pStyle w:val="Compact"/>
              <w:jc w:val="right"/>
            </w:pPr>
            <w:r>
              <w:t xml:space="preserve">18</w:t>
            </w:r>
          </w:p>
        </w:tc>
        <w:tc>
          <w:tcPr/>
          <w:p>
            <w:pPr>
              <w:pStyle w:val="Compact"/>
              <w:jc w:val="right"/>
            </w:pPr>
            <w:r>
              <w:t xml:space="preserve">63.61 [57.50, 70.28]</w:t>
            </w:r>
          </w:p>
        </w:tc>
        <w:tc>
          <w:tcPr/>
          <w:p>
            <w:pPr>
              <w:pStyle w:val="Compact"/>
              <w:jc w:val="right"/>
            </w:pPr>
            <w:r>
              <w:t xml:space="preserve">52.87 [49.44, 57.22]</w:t>
            </w:r>
          </w:p>
        </w:tc>
      </w:tr>
    </w:tbl>
    <w:p>
      <w:pPr>
        <w:pStyle w:val="BodyText"/>
      </w:pPr>
      <w:r>
        <w:t xml:space="preserve">The query evaluation included all 54 checkpoints, producing 12,870 saved</w:t>
      </w:r>
      <w:r>
        <w:t xml:space="preserve"> </w:t>
      </w:r>
      <w:r>
        <w:t xml:space="preserve">prediction rows and 324 seed/session metric records. Every prescribed</w:t>
      </w:r>
      <w:r>
        <w:t xml:space="preserve"> </w:t>
      </w:r>
      <w:r>
        <w:t xml:space="preserve">participant, seed and session remained in the complete result inventory.</w:t>
      </w:r>
    </w:p>
    <w:bookmarkEnd w:id="30"/>
    <w:bookmarkStart w:id="31" w:name="Xce819d8a6b0a1bce258bce927d39e0403da687d"/>
    <w:p>
      <w:pPr>
        <w:pStyle w:val="Heading2"/>
      </w:pPr>
      <w:r>
        <w:t xml:space="preserve">Preserved heterogeneity and collapsed predictions</w:t>
      </w:r>
    </w:p>
    <w:p>
      <w:pPr>
        <w:pStyle w:val="FirstParagraph"/>
      </w:pPr>
      <w:r>
        <w:t xml:space="preserve">EEGNet produced 16 single-class model/session outcomes across seven models and</w:t>
      </w:r>
      <w:r>
        <w:t xml:space="preserve"> </w:t>
      </w:r>
      <w:r>
        <w:t xml:space="preserve">seven participants: two source-query outcomes and 14 target-query outcomes.</w:t>
      </w:r>
      <w:r>
        <w:t xml:space="preserve"> </w:t>
      </w:r>
      <w:r>
        <w:t xml:space="preserve">They remained in all means. These are model/session counts across seeds, not</w:t>
      </w:r>
      <w:r>
        <w:t xml:space="preserve"> </w:t>
      </w:r>
      <w:r>
        <w:t xml:space="preserve">16 independent participants. The original frozen CPU model also had three</w:t>
      </w:r>
      <w:r>
        <w:t xml:space="preserve"> </w:t>
      </w:r>
      <w:r>
        <w:t xml:space="preserve">single-class target-session outcomes across the full cohort, including two in</w:t>
      </w:r>
      <w:r>
        <w:t xml:space="preserve"> </w:t>
      </w:r>
      <w:r>
        <w:t xml:space="preserve">the remaining cohort; neither CPU update method had such an outcome. Collapse</w:t>
      </w:r>
      <w:r>
        <w:t xml:space="preserve"> </w:t>
      </w:r>
      <w:r>
        <w:t xml:space="preserve">and participant worsening were not reasons to exclude data or select seeds.</w:t>
      </w:r>
    </w:p>
    <w:p>
      <w:pPr>
        <w:pStyle w:val="BodyText"/>
      </w:pPr>
      <w:r>
        <w:t xml:space="preserve">Epoch-selected source-validation scores were kept separate from query results.</w:t>
      </w:r>
      <w:r>
        <w:t xml:space="preserve"> </w:t>
      </w:r>
      <w:r>
        <w:t xml:space="preserve">The all-18 participant mean validation BA was 55.93%; the development mean was</w:t>
      </w:r>
      <w:r>
        <w:t xml:space="preserve"> </w:t>
      </w:r>
      <w:r>
        <w:t xml:space="preserve">53.06% and the remaining-cohort mean was 57.36%. Five of the 54 validation</w:t>
      </w:r>
      <w:r>
        <w:t xml:space="preserve"> </w:t>
      </w:r>
      <w:r>
        <w:t xml:space="preserve">fits predicted a single class. Within-participant seed BA ranges reached</w:t>
      </w:r>
      <w:r>
        <w:t xml:space="preserve"> </w:t>
      </w:r>
      <w:r>
        <w:t xml:space="preserve">45 percentage points. These selected validation scores describe training</w:t>
      </w:r>
      <w:r>
        <w:t xml:space="preserve"> </w:t>
      </w:r>
      <w:r>
        <w:t xml:space="preserve">behavior; they are not independent estimates of generalization and have no</w:t>
      </w:r>
      <w:r>
        <w:t xml:space="preserve"> </w:t>
      </w:r>
      <w:r>
        <w:t xml:space="preserve">new confidence interval or hypothesis test.</w:t>
      </w:r>
    </w:p>
    <w:bookmarkEnd w:id="31"/>
    <w:bookmarkStart w:id="32" w:name="X5169e429e74eeddecfd84e83071f974607920e2"/>
    <w:p>
      <w:pPr>
        <w:pStyle w:val="Heading2"/>
      </w:pPr>
      <w:r>
        <w:t xml:space="preserve">Task measurement remains insufficient to release a policy</w:t>
      </w:r>
    </w:p>
    <w:p>
      <w:pPr>
        <w:pStyle w:val="FirstParagraph"/>
      </w:pPr>
      <w:r>
        <w:t xml:space="preserve">In the previously frozen remaining-cohort descriptive analysis, covariance</w:t>
      </w:r>
      <w:r>
        <w:t xml:space="preserve"> </w:t>
      </w:r>
      <w:r>
        <w:t xml:space="preserve">shape change and source-task-axis Wasserstein distance had session-level</w:t>
      </w:r>
      <w:r>
        <w:t xml:space="preserve"> </w:t>
      </w:r>
      <w:r>
        <w:t xml:space="preserve">Spearman associations of −0.007 and 0.197 with frozen BA change. Their</w:t>
      </w:r>
      <w:r>
        <w:t xml:space="preserve"> </w:t>
      </w:r>
      <w:r>
        <w:t xml:space="preserve">participant-block 95% intervals were [−0.505, 0.438] and [−0.240, 0.518],</w:t>
      </w:r>
      <w:r>
        <w:t xml:space="preserve"> </w:t>
      </w:r>
      <w:r>
        <w:t xml:space="preserve">respectively. These broad intervals provide no reliable ranking of the two</w:t>
      </w:r>
      <w:r>
        <w:t xml:space="preserve"> </w:t>
      </w:r>
      <w:r>
        <w:t xml:space="preserve">measurements as performance predictors.</w:t>
      </w:r>
    </w:p>
    <w:p>
      <w:pPr>
        <w:pStyle w:val="BodyText"/>
      </w:pPr>
      <w:r>
        <w:t xml:space="preserve">Development-only low-dimensional power probes had mean source BA of 51.67%</w:t>
      </w:r>
      <w:r>
        <w:t xml:space="preserve"> </w:t>
      </w:r>
      <w:r>
        <w:t xml:space="preserve">for standardized 44-dimensional power, 50.00% for PCA4 and 54.17% for the</w:t>
      </w:r>
      <w:r>
        <w:t xml:space="preserve"> </w:t>
      </w:r>
      <w:r>
        <w:t xml:space="preserve">six sensorimotor-band features. Each feature set’s participant-bootstrap</w:t>
      </w:r>
      <w:r>
        <w:t xml:space="preserve"> </w:t>
      </w:r>
      <w:r>
        <w:t xml:space="preserve">interval included 50%, and each support split-half cosine interval included</w:t>
      </w:r>
      <w:r>
        <w:t xml:space="preserve"> </w:t>
      </w:r>
      <w:r>
        <w:t xml:space="preserve">zero. The supervised CSP-score</w:t>
      </w:r>
      <w:r>
        <w:t xml:space="preserve"> </w:t>
      </w:r>
      <w:r>
        <w:t xml:space="preserve">diagnostic subsequently completed all 240 prescribed source-fold/label-rotation</w:t>
      </w:r>
      <w:r>
        <w:t xml:space="preserve"> </w:t>
      </w:r>
      <w:r>
        <w:t xml:space="preserve">pipeline attempts, retaining all controls. Its mean source twofold BA was</w:t>
      </w:r>
      <w:r>
        <w:t xml:space="preserve"> </w:t>
      </w:r>
      <w:r>
        <w:t xml:space="preserve">62.9167% [52.5, 71.6667]; mean participant-averaged support split-half vector</w:t>
      </w:r>
      <w:r>
        <w:t xml:space="preserve"> </w:t>
      </w:r>
      <w:r>
        <w:t xml:space="preserve">cosine was 0.295325 [0.032041, 0.573003].</w:t>
      </w:r>
    </w:p>
    <w:p>
      <w:pPr>
        <w:pStyle w:val="BodyText"/>
      </w:pPr>
      <w:r>
        <w:t xml:space="preserve">The positive mean cosine did not establish reliable direction in every session.</w:t>
      </w:r>
      <w:r>
        <w:t xml:space="preserve"> </w:t>
      </w:r>
      <w:r>
        <w:t xml:space="preserve">Among 30 support sessions, signed frozen-score half-contrasts were both positive</w:t>
      </w:r>
      <w:r>
        <w:t xml:space="preserve"> </w:t>
      </w:r>
      <w:r>
        <w:t xml:space="preserve">in 19, both negative in two, and opposite in nine. In particular, a positive</w:t>
      </w:r>
      <w:r>
        <w:t xml:space="preserve"> </w:t>
      </w:r>
      <w:r>
        <w:t xml:space="preserve">product could arise when both halves pointed against the frozen source</w:t>
      </w:r>
      <w:r>
        <w:t xml:space="preserve"> </w:t>
      </w:r>
      <w:r>
        <w:t xml:space="preserve">direction. Five support sessions had frozen-score prediction collapse. These</w:t>
      </w:r>
      <w:r>
        <w:t xml:space="preserve"> </w:t>
      </w:r>
      <w:r>
        <w:t xml:space="preserve">diagnostics do not constitute a nested out-of-sample adaptation-policy test,</w:t>
      </w:r>
      <w:r>
        <w:t xml:space="preserve"> </w:t>
      </w:r>
      <w:r>
        <w:t xml:space="preserve">and no effective task-aware gate was declared.</w:t>
      </w:r>
    </w:p>
    <w:bookmarkEnd w:id="32"/>
    <w:bookmarkEnd w:id="33"/>
    <w:bookmarkStart w:id="34" w:name="discussion"/>
    <w:p>
      <w:pPr>
        <w:pStyle w:val="Heading1"/>
      </w:pPr>
      <w:r>
        <w:t xml:space="preserve">Discussion</w:t>
      </w:r>
    </w:p>
    <w:p>
      <w:pPr>
        <w:pStyle w:val="FirstParagraph"/>
      </w:pPr>
      <w:r>
        <w:t xml:space="preserve">The strongest completed comparison is conventional CSP/LDA recalibration under</w:t>
      </w:r>
      <w:r>
        <w:t xml:space="preserve"> </w:t>
      </w:r>
      <w:r>
        <w:t xml:space="preserve">a specified current-session label allowance. Full refitting improved the</w:t>
      </w:r>
      <w:r>
        <w:t xml:space="preserve"> </w:t>
      </w:r>
      <w:r>
        <w:t xml:space="preserve">remaining-cohort mean relative to source-only decoding, while preserving three</w:t>
      </w:r>
      <w:r>
        <w:t xml:space="preserve"> </w:t>
      </w:r>
      <w:r>
        <w:t xml:space="preserve">participants with worse outcomes. This combination motivates evaluating the</w:t>
      </w:r>
      <w:r>
        <w:t xml:space="preserve"> </w:t>
      </w:r>
      <w:r>
        <w:t xml:space="preserve">reliability of update decisions, but does not by itself establish that a</w:t>
      </w:r>
      <w:r>
        <w:t xml:space="preserve"> </w:t>
      </w:r>
      <w:r>
        <w:t xml:space="preserve">task-aware gate can improve them. The weaker and uncertain LDA-only contrast</w:t>
      </w:r>
      <w:r>
        <w:t xml:space="preserve"> </w:t>
      </w:r>
      <w:r>
        <w:t xml:space="preserve">also cautions against assuming a fixed source spatial representation is</w:t>
      </w:r>
      <w:r>
        <w:t xml:space="preserve"> </w:t>
      </w:r>
      <w:r>
        <w:t xml:space="preserve">sufficient for every later session.</w:t>
      </w:r>
    </w:p>
    <w:p>
      <w:pPr>
        <w:pStyle w:val="BodyText"/>
      </w:pPr>
      <w:r>
        <w:t xml:space="preserve">The always-frozen EEGNet baseline remained close to chance on average across</w:t>
      </w:r>
      <w:r>
        <w:t xml:space="preserve"> </w:t>
      </w:r>
      <w:r>
        <w:t xml:space="preserve">later sessions, with collapsed cases retained. Its poor transfer is a finding</w:t>
      </w:r>
      <w:r>
        <w:t xml:space="preserve"> </w:t>
      </w:r>
      <w:r>
        <w:t xml:space="preserve">about this frozen architecture, source sample size, optimization rule and</w:t>
      </w:r>
      <w:r>
        <w:t xml:space="preserve"> </w:t>
      </w:r>
      <w:r>
        <w:t xml:space="preserve">dataset. Additional source-validation labels did not turn it into a successful</w:t>
      </w:r>
      <w:r>
        <w:t xml:space="preserve"> </w:t>
      </w:r>
      <w:r>
        <w:t xml:space="preserve">longitudinal baseline under the executed protocol. It does not demonstrate</w:t>
      </w:r>
      <w:r>
        <w:t xml:space="preserve"> </w:t>
      </w:r>
      <w:r>
        <w:t xml:space="preserve">that neural decoding is generally ineffective, nor explain whether the</w:t>
      </w:r>
      <w:r>
        <w:t xml:space="preserve"> </w:t>
      </w:r>
      <w:r>
        <w:t xml:space="preserve">limitation arose from sample size, signal quality or another mechanism.</w:t>
      </w:r>
    </w:p>
    <w:p>
      <w:pPr>
        <w:pStyle w:val="BodyText"/>
      </w:pPr>
      <w:r>
        <w:t xml:space="preserve">The task diagnostics further distinguish task-discriminative source structure</w:t>
      </w:r>
      <w:r>
        <w:t xml:space="preserve"> </w:t>
      </w:r>
      <w:r>
        <w:t xml:space="preserve">from a dependable current-support decision signal. Supervised CSP source probes</w:t>
      </w:r>
      <w:r>
        <w:t xml:space="preserve"> </w:t>
      </w:r>
      <w:r>
        <w:t xml:space="preserve">showed stronger point estimates than the tested power probes, but the differing</w:t>
      </w:r>
      <w:r>
        <w:t xml:space="preserve"> </w:t>
      </w:r>
      <w:r>
        <w:t xml:space="preserve">measurements do not establish a new superior policy. Mixed signed directions,</w:t>
      </w:r>
      <w:r>
        <w:t xml:space="preserve"> </w:t>
      </w:r>
      <w:r>
        <w:t xml:space="preserve">class collapse, small support sets and uncertain drift associations remain</w:t>
      </w:r>
      <w:r>
        <w:t xml:space="preserve"> </w:t>
      </w:r>
      <w:r>
        <w:t xml:space="preserve">material constraints. Choosing a favorable feature, seed or threshold after</w:t>
      </w:r>
      <w:r>
        <w:t xml:space="preserve"> </w:t>
      </w:r>
      <w:r>
        <w:t xml:space="preserve">looking at these query scores would not resolve them.</w:t>
      </w:r>
    </w:p>
    <w:p>
      <w:pPr>
        <w:pStyle w:val="BodyText"/>
      </w:pPr>
      <w:r>
        <w:t xml:space="preserve">The practical implication is conditional. With the specified small current-run</w:t>
      </w:r>
      <w:r>
        <w:t xml:space="preserve"> </w:t>
      </w:r>
      <w:r>
        <w:t xml:space="preserve">support allowance, refitting the conventional spatial and decision stages was</w:t>
      </w:r>
      <w:r>
        <w:t xml:space="preserve"> </w:t>
      </w:r>
      <w:r>
        <w:t xml:space="preserve">more effective on average than retaining the original mapping. Its benefit was</w:t>
      </w:r>
      <w:r>
        <w:t xml:space="preserve"> </w:t>
      </w:r>
      <w:r>
        <w:t xml:space="preserve">not universal, and neither a drift association nor a source-probe score</w:t>
      </w:r>
      <w:r>
        <w:t xml:space="preserve"> </w:t>
      </w:r>
      <w:r>
        <w:t xml:space="preserve">identified an independently tested rule for deciding when to update. The weak</w:t>
      </w:r>
      <w:r>
        <w:t xml:space="preserve"> </w:t>
      </w:r>
      <w:r>
        <w:t xml:space="preserve">EEGNet result is equally important to retain: it constrains the executed</w:t>
      </w:r>
      <w:r>
        <w:t xml:space="preserve"> </w:t>
      </w:r>
      <w:r>
        <w:t xml:space="preserve">small-source pipeline without inviting retrospective tuning to the held-out</w:t>
      </w:r>
      <w:r>
        <w:t xml:space="preserve"> </w:t>
      </w:r>
      <w:r>
        <w:t xml:space="preserve">cohort. Reporting the two outcomes together prevents a successful conventional</w:t>
      </w:r>
      <w:r>
        <w:t xml:space="preserve"> </w:t>
      </w:r>
      <w:r>
        <w:t xml:space="preserve">contrast from obscuring an unsuccessful neural baseline.</w:t>
      </w:r>
    </w:p>
    <w:p>
      <w:pPr>
        <w:pStyle w:val="BodyText"/>
      </w:pPr>
      <w:r>
        <w:t xml:space="preserve">The measurement controls narrow interpretation rather than certify physiology.</w:t>
      </w:r>
      <w:r>
        <w:t xml:space="preserve"> </w:t>
      </w:r>
      <w:r>
        <w:t xml:space="preserve">Cyclic shifts retain aspects of label order, but circular boundaries and</w:t>
      </w:r>
      <w:r>
        <w:t xml:space="preserve"> </w:t>
      </w:r>
      <w:r>
        <w:t xml:space="preserve">run-specific temporal structure need not be exchangeable. A positive agreement</w:t>
      </w:r>
      <w:r>
        <w:t xml:space="preserve"> </w:t>
      </w:r>
      <w:r>
        <w:t xml:space="preserve">measure can also arise when both halves oppose the source direction. These</w:t>
      </w:r>
      <w:r>
        <w:t xml:space="preserve"> </w:t>
      </w:r>
      <w:r>
        <w:t xml:space="preserve">observations motivate checking sign, class predictions and participant-level</w:t>
      </w:r>
      <w:r>
        <w:t xml:space="preserve"> </w:t>
      </w:r>
      <w:r>
        <w:t xml:space="preserve">heterogeneity together. They do not supply a validated classifier of good or</w:t>
      </w:r>
      <w:r>
        <w:t xml:space="preserve"> </w:t>
      </w:r>
      <w:r>
        <w:t xml:space="preserve">bad adaptation opportunities.</w:t>
      </w:r>
    </w:p>
    <w:bookmarkEnd w:id="34"/>
    <w:bookmarkStart w:id="35" w:name="limitations-and-remaining-evidence"/>
    <w:p>
      <w:pPr>
        <w:pStyle w:val="Heading1"/>
      </w:pPr>
      <w:r>
        <w:t xml:space="preserve">Limitations and remaining evidence</w:t>
      </w:r>
    </w:p>
    <w:p>
      <w:pPr>
        <w:pStyle w:val="FirstParagraph"/>
      </w:pPr>
      <w:r>
        <w:t xml:space="preserve">The sample comprises 18 published identities from one derivative dataset;</w:t>
      </w:r>
      <w:r>
        <w:t xml:space="preserve"> </w:t>
      </w:r>
      <w:r>
        <w:t xml:space="preserve">the development set has six independent units and the remaining cohort 12.</w:t>
      </w:r>
      <w:r>
        <w:t xml:space="preserve"> </w:t>
      </w:r>
      <w:r>
        <w:t xml:space="preserve">Biological identity, source timestamp provenance and demographic fields are</w:t>
      </w:r>
      <w:r>
        <w:t xml:space="preserve"> </w:t>
      </w:r>
      <w:r>
        <w:t xml:space="preserve">not independently established. An invalid</w:t>
      </w:r>
      <w:r>
        <w:t xml:space="preserve"> </w:t>
      </w:r>
      <w:r>
        <w:rPr>
          <w:rStyle w:val="VerbatimChar"/>
        </w:rPr>
        <w:t xml:space="preserve">age=2020</w:t>
      </w:r>
      <w:r>
        <w:t xml:space="preserve"> </w:t>
      </w:r>
      <w:r>
        <w:t xml:space="preserve">field and unresolved</w:t>
      </w:r>
      <w:r>
        <w:t xml:space="preserve"> </w:t>
      </w:r>
      <w:r>
        <w:t xml:space="preserve">GR/PAR group mapping were not used for subgroup or covariate inference. Signal</w:t>
      </w:r>
      <w:r>
        <w:t xml:space="preserve"> </w:t>
      </w:r>
      <w:r>
        <w:t xml:space="preserve">quality was qualified rather than clinically certified, and retained amplitude</w:t>
      </w:r>
      <w:r>
        <w:t xml:space="preserve"> </w:t>
      </w:r>
      <w:r>
        <w:t xml:space="preserve">flags permit artifact-related decoding. The small, chronological runs may</w:t>
      </w:r>
      <w:r>
        <w:t xml:space="preserve"> </w:t>
      </w:r>
      <w:r>
        <w:t xml:space="preserve">confound task information with run-specific acquisition effects; cyclic-label</w:t>
      </w:r>
      <w:r>
        <w:t xml:space="preserve"> </w:t>
      </w:r>
      <w:r>
        <w:t xml:space="preserve">controls do not prove exchangeability or neural specificity.</w:t>
      </w:r>
    </w:p>
    <w:p>
      <w:pPr>
        <w:pStyle w:val="BodyText"/>
      </w:pPr>
      <w:r>
        <w:t xml:space="preserve">The study has an internal analysis freeze, not external preregistration. Earlier</w:t>
      </w:r>
      <w:r>
        <w:t xml:space="preserve"> </w:t>
      </w:r>
      <w:r>
        <w:t xml:space="preserve">exposure of the same-dataset test results limits all later method development</w:t>
      </w:r>
      <w:r>
        <w:t xml:space="preserve"> </w:t>
      </w:r>
      <w:r>
        <w:t xml:space="preserve">to exploratory interpretation. The EEGNet/CPU comparison shares query events</w:t>
      </w:r>
      <w:r>
        <w:t xml:space="preserve"> </w:t>
      </w:r>
      <w:r>
        <w:t xml:space="preserve">but differs in validation use, target labels, optimization and hardware; it</w:t>
      </w:r>
      <w:r>
        <w:t xml:space="preserve"> </w:t>
      </w:r>
      <w:r>
        <w:t xml:space="preserve">does not identify an equal-budget architectural effect. No EEGNet adaptation</w:t>
      </w:r>
      <w:r>
        <w:t xml:space="preserve"> </w:t>
      </w:r>
      <w:r>
        <w:t xml:space="preserve">baseline, nested task-aware policy comparison, independent external confirmation</w:t>
      </w:r>
      <w:r>
        <w:t xml:space="preserve"> </w:t>
      </w:r>
      <w:r>
        <w:t xml:space="preserve">or prospective online evaluation was completed here.</w:t>
      </w:r>
    </w:p>
    <w:p>
      <w:pPr>
        <w:pStyle w:val="BodyText"/>
      </w:pPr>
      <w:r>
        <w:t xml:space="preserve">A future policy would require a separately frozen development-only decision</w:t>
      </w:r>
      <w:r>
        <w:t xml:space="preserve"> </w:t>
      </w:r>
      <w:r>
        <w:t xml:space="preserve">rule and group-aware nested evaluation against always-freeze, conventional</w:t>
      </w:r>
      <w:r>
        <w:t xml:space="preserve"> </w:t>
      </w:r>
      <w:r>
        <w:t xml:space="preserve">update and equal-budget controls. Current query results cannot select that</w:t>
      </w:r>
      <w:r>
        <w:t xml:space="preserve"> </w:t>
      </w:r>
      <w:r>
        <w:t xml:space="preserve">rule, and this draft releases no experiment. Independent, qualified external</w:t>
      </w:r>
      <w:r>
        <w:t xml:space="preserve"> </w:t>
      </w:r>
      <w:r>
        <w:t xml:space="preserve">data would be needed for stronger confirmation. Human learning or retention</w:t>
      </w:r>
      <w:r>
        <w:t xml:space="preserve"> </w:t>
      </w:r>
      <w:r>
        <w:t xml:space="preserve">claims would additionally require relevant behavior, interventions and delayed</w:t>
      </w:r>
      <w:r>
        <w:t xml:space="preserve"> </w:t>
      </w:r>
      <w:r>
        <w:t xml:space="preserve">tests; the present task labels and offline decoder scores cannot supply them.</w:t>
      </w:r>
    </w:p>
    <w:p>
      <w:pPr>
        <w:pStyle w:val="BodyText"/>
      </w:pPr>
      <w:r>
        <w:t xml:space="preserve">Author identity, affiliation and correspondence were carried forward from the</w:t>
      </w:r>
      <w:r>
        <w:t xml:space="preserve"> </w:t>
      </w:r>
      <w:r>
        <w:t xml:space="preserve">first manuscript at the author’s request. The author has now confirmed sole</w:t>
      </w:r>
      <w:r>
        <w:t xml:space="preserve"> </w:t>
      </w:r>
      <w:r>
        <w:t xml:space="preserve">authorship, contribution roles, no specific funding, no competing interests,</w:t>
      </w:r>
      <w:r>
        <w:t xml:space="preserve"> </w:t>
      </w:r>
      <w:r>
        <w:t xml:space="preserve">and PLOS ONE as the target journal. The institutional determination for this</w:t>
      </w:r>
      <w:r>
        <w:t xml:space="preserve"> </w:t>
      </w:r>
      <w:r>
        <w:t xml:space="preserve">secondary analysis remains unresolved. Final manuscript approval, reference</w:t>
      </w:r>
      <w:r>
        <w:t xml:space="preserve"> </w:t>
      </w:r>
      <w:r>
        <w:t xml:space="preserve">completeness and journal-format review remain outstanding; the author’s factual</w:t>
      </w:r>
      <w:r>
        <w:t xml:space="preserve"> </w:t>
      </w:r>
      <w:r>
        <w:t xml:space="preserve">declarations do not establish institutional approval or approval to submit.</w:t>
      </w:r>
    </w:p>
    <w:bookmarkEnd w:id="35"/>
    <w:bookmarkStart w:id="36" w:name="conclusion"/>
    <w:p>
      <w:pPr>
        <w:pStyle w:val="Heading1"/>
      </w:pPr>
      <w:r>
        <w:t xml:space="preserve">Conclusion</w:t>
      </w:r>
    </w:p>
    <w:p>
      <w:pPr>
        <w:pStyle w:val="FirstParagraph"/>
      </w:pPr>
      <w:r>
        <w:t xml:space="preserve">In this frozen offline analysis, full CSP/LDA refitting improved the</w:t>
      </w:r>
      <w:r>
        <w:t xml:space="preserve"> </w:t>
      </w:r>
      <w:r>
        <w:t xml:space="preserve">cohort-average endpoint under the specified support-label budget, whereas the</w:t>
      </w:r>
      <w:r>
        <w:t xml:space="preserve"> </w:t>
      </w:r>
      <w:r>
        <w:t xml:space="preserve">LDA-only contrast remained uncertain. Always-frozen EEGNet transferred weakly</w:t>
      </w:r>
      <w:r>
        <w:t xml:space="preserve"> </w:t>
      </w:r>
      <w:r>
        <w:t xml:space="preserve">under its separate source-validation and training budget. Retained participant</w:t>
      </w:r>
      <w:r>
        <w:t xml:space="preserve"> </w:t>
      </w:r>
      <w:r>
        <w:t xml:space="preserve">worsening, class collapse and mixed task-direction reliability limit a universal</w:t>
      </w:r>
      <w:r>
        <w:t xml:space="preserve"> </w:t>
      </w:r>
      <w:r>
        <w:t xml:space="preserve">update recommendation. The completed evidence supports transparent reporting of</w:t>
      </w:r>
      <w:r>
        <w:t xml:space="preserve"> </w:t>
      </w:r>
      <w:r>
        <w:t xml:space="preserve">conventional baselines and measurement limits; it does not establish an</w:t>
      </w:r>
      <w:r>
        <w:t xml:space="preserve"> </w:t>
      </w:r>
      <w:r>
        <w:t xml:space="preserve">effective task-aware gate, human skill retention or clinical benefit.</w:t>
      </w:r>
    </w:p>
    <w:bookmarkEnd w:id="36"/>
    <w:bookmarkStart w:id="38" w:name="data-and-code-availability"/>
    <w:p>
      <w:pPr>
        <w:pStyle w:val="Heading1"/>
      </w:pPr>
      <w:r>
        <w:t xml:space="preserve">Data and code availability</w:t>
      </w:r>
    </w:p>
    <w:p>
      <w:pPr>
        <w:pStyle w:val="FirstParagraph"/>
      </w:pPr>
      <w:r>
        <w:t xml:space="preserve">The source derivative is available from the official NEMAR release</w:t>
      </w:r>
      <w:r>
        <w:t xml:space="preserve"> </w:t>
      </w:r>
      <w:r>
        <w:rPr>
          <w:rStyle w:val="VerbatimChar"/>
        </w:rPr>
        <w:t xml:space="preserve">nm000177/v1.0.5</w:t>
      </w:r>
      <w:r>
        <w:t xml:space="preserve"> </w:t>
      </w:r>
      <w:r>
        <w:t xml:space="preserve">[</w:t>
      </w:r>
      <w:hyperlink w:anchor="ref-nemar177">
        <w:r>
          <w:rPr>
            <w:rStyle w:val="Hyperlink"/>
          </w:rPr>
          <w:t xml:space="preserve">7</w:t>
        </w:r>
      </w:hyperlink>
      <w:r>
        <w:t xml:space="preserve">]</w:t>
      </w:r>
      <w:r>
        <w:t xml:space="preserve">, with the associated original study and data linked</w:t>
      </w:r>
      <w:r>
        <w:t xml:space="preserve"> </w:t>
      </w:r>
      <w:r>
        <w:t xml:space="preserve">by the release</w:t>
      </w:r>
      <w:r>
        <w:t xml:space="preserve"> </w:t>
      </w:r>
      <w:r>
        <w:t xml:space="preserve">[</w:t>
      </w:r>
      <w:hyperlink w:anchor="ref-kumar2024">
        <w:r>
          <w:rPr>
            <w:rStyle w:val="Hyperlink"/>
          </w:rPr>
          <w:t xml:space="preserve">5</w:t>
        </w:r>
      </w:hyperlink>
      <w:r>
        <w:t xml:space="preserve">]</w:t>
      </w:r>
      <w:r>
        <w:t xml:space="preserve">. The frozen analysis uses that version rather than</w:t>
      </w:r>
      <w:r>
        <w:t xml:space="preserve"> </w:t>
      </w:r>
      <w:r>
        <w:t xml:space="preserve">an unspecified latest release. The local release metadata declare CC BY 4.0;</w:t>
      </w:r>
      <w:r>
        <w:t xml:space="preserve"> </w:t>
      </w:r>
      <w:r>
        <w:t xml:space="preserve">source attribution and applicable terms must accompany reuse. The 18 identities</w:t>
      </w:r>
      <w:r>
        <w:t xml:space="preserve"> </w:t>
      </w:r>
      <w:r>
        <w:t xml:space="preserve">were not pooled with another dataset, and original EEG and model weights are</w:t>
      </w:r>
      <w:r>
        <w:t xml:space="preserve"> </w:t>
      </w:r>
      <w:r>
        <w:t xml:space="preserve">excluded from this manuscript repository.</w:t>
      </w:r>
    </w:p>
    <w:p>
      <w:pPr>
        <w:pStyle w:val="BodyText"/>
      </w:pPr>
      <w:r>
        <w:t xml:space="preserve">The original article’s published correction revises descriptive CSP comparison</w:t>
      </w:r>
      <w:r>
        <w:t xml:space="preserve"> </w:t>
      </w:r>
      <w:r>
        <w:t xml:space="preserve">values in its own results</w:t>
      </w:r>
      <w:r>
        <w:t xml:space="preserve"> </w:t>
      </w:r>
      <w:r>
        <w:t xml:space="preserve">[</w:t>
      </w:r>
      <w:hyperlink w:anchor="ref-kumar2024correction">
        <w:r>
          <w:rPr>
            <w:rStyle w:val="Hyperlink"/>
          </w:rPr>
          <w:t xml:space="preserve">6</w:t>
        </w:r>
      </w:hyperlink>
      <w:r>
        <w:t xml:space="preserve">]</w:t>
      </w:r>
      <w:r>
        <w:t xml:space="preserve">. We cite the corrected source</w:t>
      </w:r>
      <w:r>
        <w:t xml:space="preserve"> </w:t>
      </w:r>
      <w:r>
        <w:t xml:space="preserve">record and do not import those published performance values into the present</w:t>
      </w:r>
      <w:r>
        <w:t xml:space="preserve"> </w:t>
      </w:r>
      <w:r>
        <w:t xml:space="preserve">tables; our numerical results derive from the frozen secondary-analysis</w:t>
      </w:r>
      <w:r>
        <w:t xml:space="preserve"> </w:t>
      </w:r>
      <w:r>
        <w:t xml:space="preserve">predictions and audits described above.</w:t>
      </w:r>
    </w:p>
    <w:p>
      <w:pPr>
        <w:pStyle w:val="BodyText"/>
      </w:pPr>
      <w:r>
        <w:t xml:space="preserve">Analysis source, frozen configurations, small participant tables and audit</w:t>
      </w:r>
      <w:r>
        <w:t xml:space="preserve"> </w:t>
      </w:r>
      <w:r>
        <w:t xml:space="preserve">records are maintained in</w:t>
      </w:r>
      <w:r>
        <w:t xml:space="preserve"> </w:t>
      </w:r>
      <w:hyperlink r:id="rId37">
        <w:r>
          <w:rPr>
            <w:rStyle w:val="Hyperlink"/>
          </w:rPr>
          <w:t xml:space="preserve">jackzhu119/few-shot-mi-eeg</w:t>
        </w:r>
      </w:hyperlink>
      <w:r>
        <w:t xml:space="preserve"> </w:t>
      </w:r>
      <w:r>
        <w:t xml:space="preserve">on the</w:t>
      </w:r>
      <w:r>
        <w:t xml:space="preserve"> </w:t>
      </w:r>
      <w:r>
        <w:rPr>
          <w:rStyle w:val="VerbatimChar"/>
        </w:rPr>
        <w:t xml:space="preserve">research/learning-preserving-bci</w:t>
      </w:r>
      <w:r>
        <w:t xml:space="preserve"> </w:t>
      </w:r>
      <w:r>
        <w:t xml:space="preserve">branch. The evidence section and</w:t>
      </w:r>
      <w:r>
        <w:t xml:space="preserve"> </w:t>
      </w:r>
      <w:r>
        <w:t xml:space="preserve">Supplementary Methods identify the actual execution commits and SHA256-bound</w:t>
      </w:r>
      <w:r>
        <w:t xml:space="preserve"> </w:t>
      </w:r>
      <w:r>
        <w:t xml:space="preserve">artifacts. Private full-byte backups support preservation but are not a public</w:t>
      </w:r>
      <w:r>
        <w:t xml:space="preserve"> </w:t>
      </w:r>
      <w:r>
        <w:t xml:space="preserve">data-access endpoint. The author reports no institutional or collaborator</w:t>
      </w:r>
      <w:r>
        <w:t xml:space="preserve"> </w:t>
      </w:r>
      <w:r>
        <w:t xml:space="preserve">restrictions on releasing the code or derived results. A specific software</w:t>
      </w:r>
      <w:r>
        <w:t xml:space="preserve"> </w:t>
      </w:r>
      <w:r>
        <w:t xml:space="preserve">reuse license and final public analysis-release designation still need to be</w:t>
      </w:r>
      <w:r>
        <w:t xml:space="preserve"> </w:t>
      </w:r>
      <w:r>
        <w:t xml:space="preserve">established; absence of reported restrictions does not itself grant a license.</w:t>
      </w:r>
      <w:r>
        <w:t xml:space="preserve"> </w:t>
      </w:r>
      <w:r>
        <w:t xml:space="preserve">Neither a new license nor a journal release is asserted here.</w:t>
      </w:r>
    </w:p>
    <w:bookmarkEnd w:id="38"/>
    <w:bookmarkStart w:id="39" w:name="ethics-and-author-declarations"/>
    <w:p>
      <w:pPr>
        <w:pStyle w:val="Heading1"/>
      </w:pPr>
      <w:r>
        <w:t xml:space="preserve">Ethics and author declarations</w:t>
      </w:r>
    </w:p>
    <w:p>
      <w:pPr>
        <w:pStyle w:val="FirstParagraph"/>
      </w:pPr>
      <w:r>
        <w:t xml:space="preserve">This work analyzes released research data and involved no new participant</w:t>
      </w:r>
      <w:r>
        <w:t xml:space="preserve"> </w:t>
      </w:r>
      <w:r>
        <w:t xml:space="preserve">recruitment or intervention. The frozen NEMAR</w:t>
      </w:r>
      <w:r>
        <w:t xml:space="preserve"> </w:t>
      </w:r>
      <w:r>
        <w:rPr>
          <w:rStyle w:val="VerbatimChar"/>
        </w:rPr>
        <w:t xml:space="preserve">dataset_description.json</w:t>
      </w:r>
      <w:r>
        <w:t xml:space="preserve"> </w:t>
      </w:r>
      <w:r>
        <w:t xml:space="preserve">attributes the original study’s ethics approval to the University of Texas at</w:t>
      </w:r>
      <w:r>
        <w:t xml:space="preserve"> </w:t>
      </w:r>
      <w:r>
        <w:t xml:space="preserve">Austin, protocol 2020-03-0073. This is a source-metadata statement, not a new</w:t>
      </w:r>
      <w:r>
        <w:t xml:space="preserve"> </w:t>
      </w:r>
      <w:r>
        <w:t xml:space="preserve">approval obtained for the present analysis. Original consent wording and the</w:t>
      </w:r>
      <w:r>
        <w:t xml:space="preserve"> </w:t>
      </w:r>
      <w:r>
        <w:t xml:space="preserve">institutional determination for this secondary use must be confirmed by the</w:t>
      </w:r>
      <w:r>
        <w:t xml:space="preserve"> </w:t>
      </w:r>
      <w:r>
        <w:t xml:space="preserve">authors before submission; they have not been independently certified here.</w:t>
      </w:r>
    </w:p>
    <w:p>
      <w:pPr>
        <w:pStyle w:val="Compact"/>
        <w:numPr>
          <w:ilvl w:val="0"/>
          <w:numId w:val="1001"/>
        </w:numPr>
      </w:pPr>
      <w:r>
        <w:rPr>
          <w:b/>
          <w:bCs/>
        </w:rPr>
        <w:t xml:space="preserve">Author and correspondence:</w:t>
      </w:r>
      <w:r>
        <w:t xml:space="preserve"> </w:t>
      </w:r>
      <w:r>
        <w:t xml:space="preserve">Ziyuan Zhu is the sole author and corresponding</w:t>
      </w:r>
      <w:r>
        <w:t xml:space="preserve"> </w:t>
      </w:r>
      <w:r>
        <w:t xml:space="preserve">author. The affiliation and contact information above follow the user-directed</w:t>
      </w:r>
      <w:r>
        <w:t xml:space="preserve"> </w:t>
      </w:r>
      <w:r>
        <w:t xml:space="preserve">first-paper source. The author reports that the ORCID given/family fields have</w:t>
      </w:r>
      <w:r>
        <w:t xml:space="preserve"> </w:t>
      </w:r>
      <w:r>
        <w:t xml:space="preserve">been corrected to Ziyuan/Zhu; the current profile was not independently checked.</w:t>
      </w:r>
    </w:p>
    <w:p>
      <w:pPr>
        <w:pStyle w:val="Compact"/>
        <w:numPr>
          <w:ilvl w:val="0"/>
          <w:numId w:val="1001"/>
        </w:numPr>
      </w:pPr>
      <w:r>
        <w:rPr>
          <w:b/>
          <w:bCs/>
        </w:rPr>
        <w:t xml:space="preserve">Author contributions (CRediT):</w:t>
      </w:r>
      <w:r>
        <w:t xml:space="preserve"> </w:t>
      </w:r>
      <w:r>
        <w:t xml:space="preserve">Ziyuan Zhu: Conceptualization; Methodology;</w:t>
      </w:r>
      <w:r>
        <w:t xml:space="preserve"> </w:t>
      </w:r>
      <w:r>
        <w:t xml:space="preserve">Software; Formal analysis; Validation; Visualization; Writing – original draft;</w:t>
      </w:r>
      <w:r>
        <w:t xml:space="preserve"> </w:t>
      </w:r>
      <w:r>
        <w:t xml:space="preserve">Writing – review &amp; editing. These roles reflect the author’s confirmation of</w:t>
      </w:r>
      <w:r>
        <w:t xml:space="preserve"> </w:t>
      </w:r>
      <w:r>
        <w:t xml:space="preserve">sole responsibility for the work; no additional human author is reported.</w:t>
      </w:r>
    </w:p>
    <w:p>
      <w:pPr>
        <w:pStyle w:val="Compact"/>
        <w:numPr>
          <w:ilvl w:val="0"/>
          <w:numId w:val="1001"/>
        </w:numPr>
      </w:pPr>
      <w:r>
        <w:rPr>
          <w:b/>
          <w:bCs/>
        </w:rPr>
        <w:t xml:space="preserve">Funding:</w:t>
      </w:r>
      <w:r>
        <w:t xml:space="preserve"> </w:t>
      </w:r>
      <w:r>
        <w:t xml:space="preserve">The author received no specific funding for this work. Funding</w:t>
      </w:r>
      <w:r>
        <w:t xml:space="preserve"> </w:t>
      </w:r>
      <w:r>
        <w:t xml:space="preserve">of the original source study is not attributed to the present analysis.</w:t>
      </w:r>
    </w:p>
    <w:p>
      <w:pPr>
        <w:pStyle w:val="Compact"/>
        <w:numPr>
          <w:ilvl w:val="0"/>
          <w:numId w:val="1001"/>
        </w:numPr>
      </w:pPr>
      <w:r>
        <w:rPr>
          <w:b/>
          <w:bCs/>
        </w:rPr>
        <w:t xml:space="preserve">Competing interests:</w:t>
      </w:r>
      <w:r>
        <w:t xml:space="preserve"> </w:t>
      </w:r>
      <w:r>
        <w:t xml:space="preserve">The author declares no competing interests.</w:t>
      </w:r>
    </w:p>
    <w:p>
      <w:pPr>
        <w:pStyle w:val="Compact"/>
        <w:numPr>
          <w:ilvl w:val="0"/>
          <w:numId w:val="1001"/>
        </w:numPr>
      </w:pPr>
      <w:r>
        <w:rPr>
          <w:b/>
          <w:bCs/>
        </w:rPr>
        <w:t xml:space="preserve">Secondary-data institutional determination:</w:t>
      </w:r>
      <w:r>
        <w:t xml:space="preserve"> </w:t>
      </w:r>
      <w:r>
        <w:t xml:space="preserve">The author reports that no</w:t>
      </w:r>
      <w:r>
        <w:t xml:space="preserve"> </w:t>
      </w:r>
      <w:r>
        <w:t xml:space="preserve">conclusion has yet been obtained. This item remains pending and is not described</w:t>
      </w:r>
      <w:r>
        <w:t xml:space="preserve"> </w:t>
      </w:r>
      <w:r>
        <w:t xml:space="preserve">as an approval, exemption, waiver or determination that review is unnecessary.</w:t>
      </w:r>
    </w:p>
    <w:p>
      <w:pPr>
        <w:pStyle w:val="Compact"/>
        <w:numPr>
          <w:ilvl w:val="0"/>
          <w:numId w:val="1001"/>
        </w:numPr>
      </w:pPr>
      <w:r>
        <w:rPr>
          <w:b/>
          <w:bCs/>
        </w:rPr>
        <w:t xml:space="preserve">Publication history:</w:t>
      </w:r>
      <w:r>
        <w:t xml:space="preserve"> </w:t>
      </w:r>
      <w:r>
        <w:t xml:space="preserve">The author reports no prior preprint or conference</w:t>
      </w:r>
      <w:r>
        <w:t xml:space="preserve"> </w:t>
      </w:r>
      <w:r>
        <w:t xml:space="preserve">publication of this work and no concurrent journal consideration.</w:t>
      </w:r>
    </w:p>
    <w:p>
      <w:pPr>
        <w:pStyle w:val="Compact"/>
        <w:numPr>
          <w:ilvl w:val="0"/>
          <w:numId w:val="1001"/>
        </w:numPr>
      </w:pPr>
      <w:r>
        <w:rPr>
          <w:b/>
          <w:bCs/>
        </w:rPr>
        <w:t xml:space="preserve">Target journal:</w:t>
      </w:r>
      <w:r>
        <w:t xml:space="preserve"> </w:t>
      </w:r>
      <w:r>
        <w:t xml:space="preserve">PLOS ONE, Research Article, as confirmed by the author.</w:t>
      </w:r>
      <w:r>
        <w:t xml:space="preserve"> </w:t>
      </w:r>
      <w:r>
        <w:t xml:space="preserve">Final manuscript approval and submission declarations remain outstanding.</w:t>
      </w:r>
      <w:r>
        <w:t xml:space="preserve"> </w:t>
      </w:r>
      <w:r>
        <w:t xml:space="preserve">This task has not submitted the manuscript.</w:t>
      </w:r>
    </w:p>
    <w:p>
      <w:pPr>
        <w:pStyle w:val="FirstParagraph"/>
      </w:pPr>
      <w:r>
        <w:rPr>
          <w:b/>
          <w:bCs/>
        </w:rPr>
        <w:t xml:space="preserve">AI-assisted preparation — disclosure for author review.</w:t>
      </w:r>
      <w:r>
        <w:t xml:space="preserve"> </w:t>
      </w:r>
      <w:r>
        <w:t xml:space="preserve">OpenAI</w:t>
      </w:r>
      <w:r>
        <w:t xml:space="preserve"> </w:t>
      </w:r>
      <w:r>
        <w:t xml:space="preserve">ChatGPT/Codex assisted with software and validation code, preparation of saved-</w:t>
      </w:r>
      <w:r>
        <w:t xml:space="preserve"> </w:t>
      </w:r>
      <w:r>
        <w:t xml:space="preserve">result summaries and figures, reference checks, manuscript drafting and editing,</w:t>
      </w:r>
      <w:r>
        <w:t xml:space="preserve"> </w:t>
      </w:r>
      <w:r>
        <w:t xml:space="preserve">and document exports. These tools are not authors. Responsibility for the final</w:t>
      </w:r>
      <w:r>
        <w:t xml:space="preserve"> </w:t>
      </w:r>
      <w:r>
        <w:t xml:space="preserve">content rests with the human author; the author’s final review and approval of</w:t>
      </w:r>
      <w:r>
        <w:t xml:space="preserve"> </w:t>
      </w:r>
      <w:r>
        <w:t xml:space="preserve">the complete manuscript, analyses, references and this disclosure remain</w:t>
      </w:r>
      <w:r>
        <w:t xml:space="preserve"> </w:t>
      </w:r>
      <w:r>
        <w:t xml:space="preserve">outstanding. Sole human authorship does not imply that AI assistance was absent.</w:t>
      </w:r>
    </w:p>
    <w:bookmarkEnd w:id="39"/>
    <w:bookmarkStart w:id="53" w:name="figures-and-legends"/>
    <w:p>
      <w:pPr>
        <w:pStyle w:val="Heading1"/>
      </w:pPr>
      <w:r>
        <w:t xml:space="preserve">Figures and legends</w:t>
      </w:r>
    </w:p>
    <w:bookmarkStart w:id="43" w:name="X02e3063e1d15ad672fa5198819acf0bf6e056e5"/>
    <w:p>
      <w:pPr>
        <w:pStyle w:val="Heading2"/>
      </w:pPr>
      <w:r>
        <w:t xml:space="preserve">Figure 1 — Target-query decoding by participant</w:t>
      </w:r>
    </w:p>
    <w:p>
      <w:pPr>
        <w:pStyle w:val="FirstParagraph"/>
      </w:pPr>
      <w:r>
        <w:drawing>
          <wp:inline>
            <wp:extent cx="5334000" cy="2370666"/>
            <wp:effectExtent b="0" l="0" r="0" t="0"/>
            <wp:docPr descr="" title="" id="41" name="Picture"/>
            <a:graphic>
              <a:graphicData uri="http://schemas.openxmlformats.org/drawingml/2006/picture">
                <pic:pic>
                  <pic:nvPicPr>
                    <pic:cNvPr descr="/workspace/few-shot-mi-eeg/manuscript/figures/kumar2024_20261015/figure1_target_query_participants.png" id="42" name="Picture"/>
                    <pic:cNvPicPr>
                      <a:picLocks noChangeArrowheads="1" noChangeAspect="1"/>
                    </pic:cNvPicPr>
                  </pic:nvPicPr>
                  <pic:blipFill>
                    <a:blip r:embed="rId40"/>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All 18 participants are retained, separated into the six development and 12 remaining participants. Each colored point is one participant’s balanced accuracy (BA), with equal weight for the five target sessions. Always-frozen EEGNet uses the mean of all three fixed seeds within each session before averaging sessions; CPU methods each use their single frozen execution. Faint lines connect the same participant across methods. Black diamonds and bars reproduce the saved cohort means and 95% descriptive participant-bootstrap intervals (10,000 replicates, seed 42); intervals were not recomputed for this figure. Labels above each method show the saved mean. The 50% reference is descriptive and is not a new significance test. All methods use identical target-query trial identities, but their information and computation budgets differ: all fit on 40 source TRAIN trials, EEGNet selects an epoch using 20 additional source validation labels and receives no target support, whereas the adaptive CPU methods additionally fit with 19 or 20 labels from the current target support session. Thus these are descriptive comparisons, not a matched-budget ranking of model architectures. Previously exposed cohorts make the follow-up comparison exploratory; class-collapsed predictions remain included.</w:t>
      </w:r>
    </w:p>
    <w:bookmarkEnd w:id="43"/>
    <w:bookmarkStart w:id="47" w:name="Xf03bc4f5cdf0e9251e9e58cb87f0bb4b21adf08"/>
    <w:p>
      <w:pPr>
        <w:pStyle w:val="Heading2"/>
      </w:pPr>
      <w:r>
        <w:t xml:space="preserve">Figure 2 — Original CPU primary paired contrast</w:t>
      </w:r>
    </w:p>
    <w:p>
      <w:pPr>
        <w:pStyle w:val="FirstParagraph"/>
      </w:pPr>
      <w:r>
        <w:drawing>
          <wp:inline>
            <wp:extent cx="4533900" cy="3670300"/>
            <wp:effectExtent b="0" l="0" r="0" t="0"/>
            <wp:docPr descr="" title="" id="45" name="Picture"/>
            <a:graphic>
              <a:graphicData uri="http://schemas.openxmlformats.org/drawingml/2006/picture">
                <pic:pic>
                  <pic:nvPicPr>
                    <pic:cNvPr descr="/workspace/few-shot-mi-eeg/manuscript/figures/kumar2024_20261015/figure2_cpu_primary_paired_changes.png" id="46" name="Picture"/>
                    <pic:cNvPicPr>
                      <a:picLocks noChangeArrowheads="1" noChangeAspect="1"/>
                    </pic:cNvPicPr>
                  </pic:nvPicPr>
                  <pic:blipFill>
                    <a:blip r:embed="rId44"/>
                    <a:stretch>
                      <a:fillRect/>
                    </a:stretch>
                  </pic:blipFill>
                  <pic:spPr bwMode="auto">
                    <a:xfrm>
                      <a:off x="0" y="0"/>
                      <a:ext cx="4533900" cy="3670300"/>
                    </a:xfrm>
                    <a:prstGeom prst="rect">
                      <a:avLst/>
                    </a:prstGeom>
                    <a:noFill/>
                    <a:ln w="9525">
                      <a:noFill/>
                      <a:headEnd/>
                      <a:tailEnd/>
                    </a:ln>
                  </pic:spPr>
                </pic:pic>
              </a:graphicData>
            </a:graphic>
          </wp:inline>
        </w:drawing>
      </w:r>
    </w:p>
    <w:p>
      <w:pPr>
        <w:pStyle w:val="BodyText"/>
      </w:pPr>
      <w:r>
        <w:t xml:space="preserve">Participant-wise differences in five-target-session mean BA for CSP/LDA refitting minus source-only CSP/LDA, retaining the original primary cohort of 12 remaining participants. Participants are displayed by numeric identity, not ordered by effect size. Nine differences are positive and three are negative (sub-6, sub-14 and sub-15); none is removed. The black diamond and bar reproduce the original mean difference of +7.42 percentage points and 95% participant-bootstrap interval [+2.49, +12.48] (10,000 replicates, seed 42). This frozen primary contrast intentionally compares different target-label access: both methods begin with 40 source TRAIN trials, while refitting additionally uses the current session’s 19 or 20 labeled support trials. The figure adds no hypothesis test and does not reinterpret this support-access contrast as a same-budget architecture comparison. These offline decoding changes do not establish human learning, skill preservation or clinical efficacy.</w:t>
      </w:r>
    </w:p>
    <w:bookmarkEnd w:id="47"/>
    <w:bookmarkStart w:id="52" w:name="X29d755e2f0ec84cf2ee7a6cdb6fe5a47db8499b"/>
    <w:p>
      <w:pPr>
        <w:pStyle w:val="Heading2"/>
      </w:pPr>
      <w:r>
        <w:t xml:space="preserve">Figure 3 — Signed-score consistency across target support halves</w:t>
      </w:r>
    </w:p>
    <w:p>
      <w:pPr>
        <w:pStyle w:val="FirstParagraph"/>
      </w:pPr>
      <w:r>
        <w:drawing>
          <wp:inline>
            <wp:extent cx="5334000" cy="3394363"/>
            <wp:effectExtent b="0" l="0" r="0" t="0"/>
            <wp:docPr descr="" title="" id="49" name="Picture"/>
            <a:graphic>
              <a:graphicData uri="http://schemas.openxmlformats.org/drawingml/2006/picture">
                <pic:pic>
                  <pic:nvPicPr>
                    <pic:cNvPr descr="/workspace/few-shot-mi-eeg/manuscript/figures/kumar2024_20261015/figure3_csp_signed_support_halves.png" id="50" name="Picture"/>
                    <pic:cNvPicPr>
                      <a:picLocks noChangeArrowheads="1" noChangeAspect="1"/>
                    </pic:cNvPicPr>
                  </pic:nvPicPr>
                  <pic:blipFill>
                    <a:blip r:embed="rId48"/>
                    <a:stretch>
                      <a:fillRect/>
                    </a:stretch>
                  </pic:blipFill>
                  <pic:spPr bwMode="auto">
                    <a:xfrm>
                      <a:off x="0" y="0"/>
                      <a:ext cx="5334000" cy="3394363"/>
                    </a:xfrm>
                    <a:prstGeom prst="rect">
                      <a:avLst/>
                    </a:prstGeom>
                    <a:noFill/>
                    <a:ln w="9525">
                      <a:noFill/>
                      <a:headEnd/>
                      <a:tailEnd/>
                    </a:ln>
                  </pic:spPr>
                </pic:pic>
              </a:graphicData>
            </a:graphic>
          </wp:inline>
        </w:drawing>
      </w:r>
    </w:p>
    <w:p>
      <w:pPr>
        <w:pStyle w:val="BodyText"/>
      </w:pPr>
      <w:r>
        <w:t xml:space="preserve">The six development participants each contribute five target support sessions. Blue circles and vermilion squares show the first and second chronological halves within each class, connected only within the same session. Values are the saved class-balanced signed margin, (mean right-class source-LDA score − mean left-class score) / (2 × source-score standard deviation), with the source model and score normalization fixed. Shared axes retain all 60 half measurements, including negative margins; the natural zero line is a sign reference and is not a selected gate threshold. Of the 30 sessions, 19 have two positive margins, two have two negative margins and nine have opposite signs. In particular, a positive product of two half margins can also represent two negative orientations. These already audited support-only diagnostics do not establish a reliable adaptive gate; no query results, new threshold, refit or strategy search are used by this plotting task.</w:t>
      </w:r>
    </w:p>
    <w:p>
      <w:pPr>
        <w:pStyle w:val="BodyText"/>
      </w:pPr>
      <w:r>
        <w:t xml:space="preserve">Detailed definitions and immutable evidence bindings are provided in the</w:t>
      </w:r>
      <w:r>
        <w:t xml:space="preserve"> </w:t>
      </w:r>
      <w:hyperlink r:id="rId51">
        <w:r>
          <w:rPr>
            <w:rStyle w:val="Hyperlink"/>
          </w:rPr>
          <w:t xml:space="preserve">Supplementary Methods</w:t>
        </w:r>
      </w:hyperlink>
      <w:r>
        <w:t xml:space="preserve">.</w:t>
      </w:r>
    </w:p>
    <w:bookmarkEnd w:id="52"/>
    <w:bookmarkEnd w:id="53"/>
    <w:bookmarkStart w:id="74" w:name="evidence-and-reproducibility"/>
    <w:p>
      <w:pPr>
        <w:pStyle w:val="Heading1"/>
      </w:pPr>
      <w:r>
        <w:t xml:space="preserve">Evidence and reproducibility</w:t>
      </w:r>
    </w:p>
    <w:p>
      <w:pPr>
        <w:pStyle w:val="FirstParagraph"/>
      </w:pPr>
      <w:r>
        <w:t xml:space="preserve">The methods and numerical statements above are tied to the following preserved</w:t>
      </w:r>
      <w:r>
        <w:t xml:space="preserve"> </w:t>
      </w:r>
      <w:r>
        <w:t xml:space="preserve">repository records. Older reports contain historical stage flags; later audit</w:t>
      </w:r>
      <w:r>
        <w:t xml:space="preserve"> </w:t>
      </w:r>
      <w:r>
        <w:t xml:space="preserve">and actual acceptance records append evidence rather than rewrite those flags.</w:t>
      </w:r>
      <w:r>
        <w:t xml:space="preserve"> </w:t>
      </w:r>
      <w:r>
        <w:t xml:space="preserve">This manuscript update itself runs no experiment.</w:t>
      </w:r>
    </w:p>
    <w:p>
      <w:pPr>
        <w:pStyle w:val="Compact"/>
        <w:numPr>
          <w:ilvl w:val="0"/>
          <w:numId w:val="1002"/>
        </w:numPr>
      </w:pPr>
      <w:hyperlink r:id="rId54">
        <w:r>
          <w:rPr>
            <w:rStyle w:val="Hyperlink"/>
          </w:rPr>
          <w:t xml:space="preserve">Frozen CPU experiment protocol</w:t>
        </w:r>
      </w:hyperlink>
      <w:r>
        <w:t xml:space="preserve">,</w:t>
      </w:r>
      <w:r>
        <w:t xml:space="preserve"> </w:t>
      </w:r>
      <w:hyperlink r:id="rId55">
        <w:r>
          <w:rPr>
            <w:rStyle w:val="Hyperlink"/>
          </w:rPr>
          <w:t xml:space="preserve">CPU configuration</w:t>
        </w:r>
      </w:hyperlink>
      <w:r>
        <w:t xml:space="preserve">, and</w:t>
      </w:r>
      <w:r>
        <w:t xml:space="preserve"> </w:t>
      </w:r>
      <w:hyperlink r:id="rId56">
        <w:r>
          <w:rPr>
            <w:rStyle w:val="Hyperlink"/>
          </w:rPr>
          <w:t xml:space="preserve">frozen split manifest</w:t>
        </w:r>
      </w:hyperlink>
      <w:r>
        <w:t xml:space="preserve">.</w:t>
      </w:r>
    </w:p>
    <w:p>
      <w:pPr>
        <w:pStyle w:val="Compact"/>
        <w:numPr>
          <w:ilvl w:val="0"/>
          <w:numId w:val="1002"/>
        </w:numPr>
      </w:pPr>
      <w:hyperlink r:id="rId57">
        <w:r>
          <w:rPr>
            <w:rStyle w:val="Hyperlink"/>
          </w:rPr>
          <w:t xml:space="preserve">Original task-aware descriptive plan</w:t>
        </w:r>
      </w:hyperlink>
      <w:r>
        <w:t xml:space="preserve"> </w:t>
      </w:r>
      <w:r>
        <w:t xml:space="preserve">and</w:t>
      </w:r>
      <w:r>
        <w:t xml:space="preserve"> </w:t>
      </w:r>
      <w:hyperlink r:id="rId58">
        <w:r>
          <w:rPr>
            <w:rStyle w:val="Hyperlink"/>
          </w:rPr>
          <w:t xml:space="preserve">recorded research decisions</w:t>
        </w:r>
      </w:hyperlink>
      <w:r>
        <w:t xml:space="preserve">.</w:t>
      </w:r>
    </w:p>
    <w:p>
      <w:pPr>
        <w:pStyle w:val="Compact"/>
        <w:numPr>
          <w:ilvl w:val="0"/>
          <w:numId w:val="1002"/>
        </w:numPr>
      </w:pPr>
      <w:hyperlink r:id="rId59">
        <w:r>
          <w:rPr>
            <w:rStyle w:val="Hyperlink"/>
          </w:rPr>
          <w:t xml:space="preserve">Executed CPU baseline summary</w:t>
        </w:r>
      </w:hyperlink>
      <w:r>
        <w:t xml:space="preserve">,</w:t>
      </w:r>
      <w:r>
        <w:t xml:space="preserve"> </w:t>
      </w:r>
      <w:hyperlink r:id="rId60">
        <w:r>
          <w:rPr>
            <w:rStyle w:val="Hyperlink"/>
          </w:rPr>
          <w:t xml:space="preserve">original execution receipt</w:t>
        </w:r>
      </w:hyperlink>
      <w:r>
        <w:t xml:space="preserve">,</w:t>
      </w:r>
      <w:r>
        <w:t xml:space="preserve"> </w:t>
      </w:r>
      <w:r>
        <w:t xml:space="preserve">and</w:t>
      </w:r>
      <w:r>
        <w:t xml:space="preserve"> </w:t>
      </w:r>
      <w:hyperlink r:id="rId61">
        <w:r>
          <w:rPr>
            <w:rStyle w:val="Hyperlink"/>
          </w:rPr>
          <w:t xml:space="preserve">participant endpoints</w:t>
        </w:r>
      </w:hyperlink>
      <w:r>
        <w:t xml:space="preserve">.</w:t>
      </w:r>
    </w:p>
    <w:p>
      <w:pPr>
        <w:pStyle w:val="Compact"/>
        <w:numPr>
          <w:ilvl w:val="0"/>
          <w:numId w:val="1002"/>
        </w:numPr>
      </w:pPr>
      <w:hyperlink r:id="rId62">
        <w:r>
          <w:rPr>
            <w:rStyle w:val="Hyperlink"/>
          </w:rPr>
          <w:t xml:space="preserve">EEGNet training plan</w:t>
        </w:r>
      </w:hyperlink>
      <w:r>
        <w:t xml:space="preserve">,</w:t>
      </w:r>
      <w:r>
        <w:t xml:space="preserve"> </w:t>
      </w:r>
      <w:hyperlink r:id="rId63">
        <w:r>
          <w:rPr>
            <w:rStyle w:val="Hyperlink"/>
          </w:rPr>
          <w:t xml:space="preserve">unchanged executed architecture/optimization configuration</w:t>
        </w:r>
      </w:hyperlink>
      <w:r>
        <w:t xml:space="preserve">,</w:t>
      </w:r>
      <w:r>
        <w:t xml:space="preserve"> </w:t>
      </w:r>
      <w:r>
        <w:t xml:space="preserve">and</w:t>
      </w:r>
      <w:r>
        <w:t xml:space="preserve"> </w:t>
      </w:r>
      <w:hyperlink r:id="rId64">
        <w:r>
          <w:rPr>
            <w:rStyle w:val="Hyperlink"/>
          </w:rPr>
          <w:t xml:space="preserve">all-54 saved source-validation summary</w:t>
        </w:r>
      </w:hyperlink>
      <w:r>
        <w:t xml:space="preserve">.</w:t>
      </w:r>
    </w:p>
    <w:p>
      <w:pPr>
        <w:pStyle w:val="Compact"/>
        <w:numPr>
          <w:ilvl w:val="0"/>
          <w:numId w:val="1002"/>
        </w:numPr>
      </w:pPr>
      <w:hyperlink r:id="rId65">
        <w:r>
          <w:rPr>
            <w:rStyle w:val="Hyperlink"/>
          </w:rPr>
          <w:t xml:space="preserve">Frozen checkpoint query protocol</w:t>
        </w:r>
      </w:hyperlink>
      <w:r>
        <w:t xml:space="preserve">,</w:t>
      </w:r>
      <w:r>
        <w:t xml:space="preserve"> </w:t>
      </w:r>
      <w:hyperlink r:id="rId66">
        <w:r>
          <w:rPr>
            <w:rStyle w:val="Hyperlink"/>
          </w:rPr>
          <w:t xml:space="preserve">actual query execution and independent audits</w:t>
        </w:r>
      </w:hyperlink>
      <w:r>
        <w:t xml:space="preserve">,</w:t>
      </w:r>
      <w:r>
        <w:t xml:space="preserve"> </w:t>
      </w:r>
      <w:hyperlink r:id="rId67">
        <w:r>
          <w:rPr>
            <w:rStyle w:val="Hyperlink"/>
          </w:rPr>
          <w:t xml:space="preserve">query participant summary</w:t>
        </w:r>
      </w:hyperlink>
      <w:r>
        <w:t xml:space="preserve">,</w:t>
      </w:r>
      <w:r>
        <w:t xml:space="preserve"> </w:t>
      </w:r>
      <w:r>
        <w:t xml:space="preserve">and</w:t>
      </w:r>
      <w:r>
        <w:t xml:space="preserve"> </w:t>
      </w:r>
      <w:hyperlink r:id="rId68">
        <w:r>
          <w:rPr>
            <w:rStyle w:val="Hyperlink"/>
          </w:rPr>
          <w:t xml:space="preserve">subsequent actual query acceptance</w:t>
        </w:r>
      </w:hyperlink>
      <w:r>
        <w:t xml:space="preserve">.</w:t>
      </w:r>
    </w:p>
    <w:p>
      <w:pPr>
        <w:pStyle w:val="Compact"/>
        <w:numPr>
          <w:ilvl w:val="0"/>
          <w:numId w:val="1002"/>
        </w:numPr>
      </w:pPr>
      <w:hyperlink r:id="rId69">
        <w:r>
          <w:rPr>
            <w:rStyle w:val="Hyperlink"/>
          </w:rPr>
          <w:t xml:space="preserve">Matched saved-query comparison table</w:t>
        </w:r>
      </w:hyperlink>
      <w:r>
        <w:t xml:space="preserve">,</w:t>
      </w:r>
      <w:r>
        <w:t xml:space="preserve"> </w:t>
      </w:r>
      <w:hyperlink r:id="rId70">
        <w:r>
          <w:rPr>
            <w:rStyle w:val="Hyperlink"/>
          </w:rPr>
          <w:t xml:space="preserve">participant endpoints</w:t>
        </w:r>
      </w:hyperlink>
      <w:r>
        <w:t xml:space="preserve">,</w:t>
      </w:r>
      <w:r>
        <w:t xml:space="preserve"> </w:t>
      </w:r>
      <w:r>
        <w:t xml:space="preserve">and</w:t>
      </w:r>
      <w:r>
        <w:t xml:space="preserve"> </w:t>
      </w:r>
      <w:hyperlink r:id="rId71">
        <w:r>
          <w:rPr>
            <w:rStyle w:val="Hyperlink"/>
          </w:rPr>
          <w:t xml:space="preserve">comparison provenance and identity checks</w:t>
        </w:r>
      </w:hyperlink>
      <w:r>
        <w:t xml:space="preserve">.</w:t>
      </w:r>
    </w:p>
    <w:p>
      <w:pPr>
        <w:pStyle w:val="Compact"/>
        <w:numPr>
          <w:ilvl w:val="0"/>
          <w:numId w:val="1002"/>
        </w:numPr>
      </w:pPr>
      <w:hyperlink r:id="rId72">
        <w:r>
          <w:rPr>
            <w:rStyle w:val="Hyperlink"/>
          </w:rPr>
          <w:t xml:space="preserve">Development low-dimensional reliability report</w:t>
        </w:r>
      </w:hyperlink>
      <w:r>
        <w:t xml:space="preserve"> </w:t>
      </w:r>
      <w:r>
        <w:t xml:space="preserve">and</w:t>
      </w:r>
      <w:r>
        <w:t xml:space="preserve"> </w:t>
      </w:r>
      <w:hyperlink r:id="rId73">
        <w:r>
          <w:rPr>
            <w:rStyle w:val="Hyperlink"/>
          </w:rPr>
          <w:t xml:space="preserve">complete supervised CSP signed-score diagnostic</w:t>
        </w:r>
      </w:hyperlink>
      <w:r>
        <w:t xml:space="preserve">.</w:t>
      </w:r>
    </w:p>
    <w:p>
      <w:pPr>
        <w:pStyle w:val="FirstParagraph"/>
      </w:pPr>
      <w:r>
        <w:t xml:space="preserve">The EEGNet query evaluation executed once at commit</w:t>
      </w:r>
      <w:r>
        <w:t xml:space="preserve"> </w:t>
      </w:r>
      <w:r>
        <w:rPr>
          <w:rStyle w:val="VerbatimChar"/>
        </w:rPr>
        <w:t xml:space="preserve">d34703ca5bccf7a5b88a91c2ffb2cba893f7cec8</w:t>
      </w:r>
      <w:r>
        <w:t xml:space="preserve">; its audit delivery was fixed at</w:t>
      </w:r>
      <w:r>
        <w:t xml:space="preserve"> </w:t>
      </w:r>
      <w:r>
        <w:rPr>
          <w:rStyle w:val="VerbatimChar"/>
        </w:rPr>
        <w:t xml:space="preserve">ac5a1f6d014421f0adf6f924a58a7063558b89f7</w:t>
      </w:r>
      <w:r>
        <w:t xml:space="preserve">. The original operator’s private</w:t>
      </w:r>
      <w:r>
        <w:t xml:space="preserve"> </w:t>
      </w:r>
      <w:r>
        <w:t xml:space="preserve">result/evidence backup verified all 147 objects by full GET/SHA256. The actual</w:t>
      </w:r>
      <w:r>
        <w:t xml:space="preserve"> </w:t>
      </w:r>
      <w:r>
        <w:t xml:space="preserve">parent acceptance at 2026-10-15T09:49:05Z separately records reading and hashing</w:t>
      </w:r>
      <w:r>
        <w:t xml:space="preserve"> </w:t>
      </w:r>
      <w:r>
        <w:t xml:space="preserve">the complete receipt, metadata/result identity checks, and arithmetic</w:t>
      </w:r>
      <w:r>
        <w:t xml:space="preserve"> </w:t>
      </w:r>
      <w:r>
        <w:t xml:space="preserve">reconstruction of 18 participant means and six bootstrap summaries. It does</w:t>
      </w:r>
      <w:r>
        <w:t xml:space="preserve"> </w:t>
      </w:r>
      <w:r>
        <w:t xml:space="preserve">not claim a new parent R2 GET, second model forward or independent rehash of</w:t>
      </w:r>
      <w:r>
        <w:t xml:space="preserve"> </w:t>
      </w:r>
      <w:r>
        <w:t xml:space="preserve">all 147 original objects. Source</w:t>
      </w:r>
      <w:r>
        <w:t xml:space="preserve"> </w:t>
      </w:r>
      <w:r>
        <w:t xml:space="preserve">weights and original EEG remain private and are excluded from the manuscript</w:t>
      </w:r>
      <w:r>
        <w:t xml:space="preserve"> </w:t>
      </w:r>
      <w:r>
        <w:t xml:space="preserve">repository. Data redistribution remains subject to the source license.</w:t>
      </w:r>
    </w:p>
    <w:bookmarkEnd w:id="74"/>
    <w:bookmarkStart w:id="96" w:name="references"/>
    <w:p>
      <w:pPr>
        <w:pStyle w:val="Heading1"/>
      </w:pPr>
      <w:r>
        <w:t xml:space="preserve">References</w:t>
      </w:r>
    </w:p>
    <w:bookmarkStart w:id="95" w:name="refs"/>
    <w:bookmarkStart w:id="76"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Journal of Neural Engineering. 2018;15: 031005. doi:</w:t>
      </w:r>
      <w:hyperlink r:id="rId75">
        <w:r>
          <w:rPr>
            <w:rStyle w:val="Hyperlink"/>
          </w:rPr>
          <w:t xml:space="preserve">10.1088/1741-2552/aab2f2</w:t>
        </w:r>
      </w:hyperlink>
    </w:p>
    <w:bookmarkEnd w:id="76"/>
    <w:bookmarkStart w:id="78"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Transactions on Rehabilitation Engineering. 2000;8: 441–446. doi:</w:t>
      </w:r>
      <w:hyperlink r:id="rId77">
        <w:r>
          <w:rPr>
            <w:rStyle w:val="Hyperlink"/>
          </w:rPr>
          <w:t xml:space="preserve">10.1109/86.895946</w:t>
        </w:r>
      </w:hyperlink>
    </w:p>
    <w:bookmarkEnd w:id="78"/>
    <w:bookmarkStart w:id="80"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Processing Magazine. 2008;25: 41–56. doi:</w:t>
      </w:r>
      <w:hyperlink r:id="rId79">
        <w:r>
          <w:rPr>
            <w:rStyle w:val="Hyperlink"/>
          </w:rPr>
          <w:t xml:space="preserve">10.1109/msp.2008.4408441</w:t>
        </w:r>
      </w:hyperlink>
    </w:p>
    <w:bookmarkEnd w:id="80"/>
    <w:bookmarkStart w:id="82" w:name="ref-lawhern2018"/>
    <w:p>
      <w:pPr>
        <w:pStyle w:val="Bibliography"/>
      </w:pPr>
      <w:r>
        <w:t xml:space="preserve">4.</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Journal of Neural Engineering. 2018;15: 056013. doi:</w:t>
      </w:r>
      <w:hyperlink r:id="rId81">
        <w:r>
          <w:rPr>
            <w:rStyle w:val="Hyperlink"/>
          </w:rPr>
          <w:t xml:space="preserve">10.1088/1741-2552/aace8c</w:t>
        </w:r>
      </w:hyperlink>
    </w:p>
    <w:bookmarkEnd w:id="82"/>
    <w:bookmarkStart w:id="84" w:name="ref-kumar2024"/>
    <w:p>
      <w:pPr>
        <w:pStyle w:val="Bibliography"/>
      </w:pPr>
      <w:r>
        <w:t xml:space="preserve">5.</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 pgae076. doi:</w:t>
      </w:r>
      <w:hyperlink r:id="rId83">
        <w:r>
          <w:rPr>
            <w:rStyle w:val="Hyperlink"/>
          </w:rPr>
          <w:t xml:space="preserve">10.1093/pnasnexus/pgae076</w:t>
        </w:r>
      </w:hyperlink>
    </w:p>
    <w:bookmarkEnd w:id="84"/>
    <w:bookmarkStart w:id="86" w:name="ref-kumar2024correction"/>
    <w:p>
      <w:pPr>
        <w:pStyle w:val="Bibliography"/>
      </w:pPr>
      <w:r>
        <w:t xml:space="preserve">6.</w:t>
      </w:r>
      <w:r>
        <w:t xml:space="preserve"> </w:t>
      </w:r>
      <w:r>
        <w:t xml:space="preserve">	</w:t>
      </w:r>
      <w:r>
        <w:t xml:space="preserve">Correction to: Transfer learning promotes acquisition of individual BCI skills</w:t>
      </w:r>
      <w:r>
        <w:t xml:space="preserve">. PNAS Nexus. 2024;3: pgae137. doi:</w:t>
      </w:r>
      <w:hyperlink r:id="rId85">
        <w:r>
          <w:rPr>
            <w:rStyle w:val="Hyperlink"/>
          </w:rPr>
          <w:t xml:space="preserve">10.1093/pnasnexus/pgae137</w:t>
        </w:r>
      </w:hyperlink>
    </w:p>
    <w:bookmarkEnd w:id="86"/>
    <w:bookmarkStart w:id="88" w:name="ref-nemar177"/>
    <w:p>
      <w:pPr>
        <w:pStyle w:val="Bibliography"/>
      </w:pPr>
      <w:r>
        <w:t xml:space="preserve">7.</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r:id="rId87">
        <w:r>
          <w:rPr>
            <w:rStyle w:val="Hyperlink"/>
          </w:rPr>
          <w:t xml:space="preserve">10.82901/nemar.nm000177.v1.0.5</w:t>
        </w:r>
      </w:hyperlink>
    </w:p>
    <w:bookmarkEnd w:id="88"/>
    <w:bookmarkStart w:id="90" w:name="ref-jayaram2018"/>
    <w:p>
      <w:pPr>
        <w:pStyle w:val="Bibliography"/>
      </w:pPr>
      <w:r>
        <w:t xml:space="preserve">8.</w:t>
      </w:r>
      <w:r>
        <w:t xml:space="preserve"> </w:t>
      </w:r>
      <w:r>
        <w:t xml:space="preserve">	</w:t>
      </w:r>
      <w:r>
        <w:t xml:space="preserve">Jayaram V, Barachant A.</w:t>
      </w:r>
      <w:r>
        <w:t xml:space="preserve"> </w:t>
      </w:r>
      <w:r>
        <w:t xml:space="preserve">MOABB: trustworthy algorithm benchmarking for BCIs</w:t>
      </w:r>
      <w:r>
        <w:t xml:space="preserve">. Journal of Neural Engineering. 2018;15: 066011. doi:</w:t>
      </w:r>
      <w:hyperlink r:id="rId89">
        <w:r>
          <w:rPr>
            <w:rStyle w:val="Hyperlink"/>
          </w:rPr>
          <w:t xml:space="preserve">10.1088/1741-2552/aadea0</w:t>
        </w:r>
      </w:hyperlink>
    </w:p>
    <w:bookmarkEnd w:id="90"/>
    <w:bookmarkStart w:id="92" w:name="ref-schirrmeister2017"/>
    <w:p>
      <w:pPr>
        <w:pStyle w:val="Bibliography"/>
      </w:pPr>
      <w:r>
        <w:t xml:space="preserve">9.</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Human Brain Mapping. 2017;38: 5391–5420. doi:</w:t>
      </w:r>
      <w:hyperlink r:id="rId91">
        <w:r>
          <w:rPr>
            <w:rStyle w:val="Hyperlink"/>
          </w:rPr>
          <w:t xml:space="preserve">10.1002/hbm.23730</w:t>
        </w:r>
      </w:hyperlink>
    </w:p>
    <w:bookmarkEnd w:id="92"/>
    <w:bookmarkStart w:id="94" w:name="ref-ledoit2004"/>
    <w:p>
      <w:pPr>
        <w:pStyle w:val="Bibliography"/>
      </w:pPr>
      <w:r>
        <w:t xml:space="preserve">10.</w:t>
      </w:r>
      <w:r>
        <w:t xml:space="preserve"> </w:t>
      </w:r>
      <w:r>
        <w:t xml:space="preserve">	</w:t>
      </w:r>
      <w:r>
        <w:t xml:space="preserve">Ledoit O, Wolf M.</w:t>
      </w:r>
      <w:r>
        <w:t xml:space="preserve"> </w:t>
      </w:r>
      <w:r>
        <w:t xml:space="preserve">A well-conditioned estimator for large-dimensional covariance matrices</w:t>
      </w:r>
      <w:r>
        <w:t xml:space="preserve">. Journal of Multivariate Analysis. 2004;88: 365–411. doi:</w:t>
      </w:r>
      <w:hyperlink r:id="rId93">
        <w:r>
          <w:rPr>
            <w:rStyle w:val="Hyperlink"/>
          </w:rPr>
          <w:t xml:space="preserve">10.1016/s0047-259x(03)00096-4</w:t>
        </w:r>
      </w:hyperlink>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23" Target="https://data.nemar.org/nm000177/v1.0.5/README.md" TargetMode="External" /><Relationship Type="http://schemas.openxmlformats.org/officeDocument/2006/relationships/hyperlink" Id="rId91" Target="https://doi.org/10.1002/hbm.23730" TargetMode="External" /><Relationship Type="http://schemas.openxmlformats.org/officeDocument/2006/relationships/hyperlink" Id="rId93" Target="https://doi.org/10.1016/s0047-259x(03)00096-4" TargetMode="External" /><Relationship Type="http://schemas.openxmlformats.org/officeDocument/2006/relationships/hyperlink" Id="rId75" Target="https://doi.org/10.1088/1741-2552/aab2f2" TargetMode="External" /><Relationship Type="http://schemas.openxmlformats.org/officeDocument/2006/relationships/hyperlink" Id="rId81" Target="https://doi.org/10.1088/1741-2552/aace8c" TargetMode="External" /><Relationship Type="http://schemas.openxmlformats.org/officeDocument/2006/relationships/hyperlink" Id="rId89" Target="https://doi.org/10.1088/1741-2552/aadea0" TargetMode="External" /><Relationship Type="http://schemas.openxmlformats.org/officeDocument/2006/relationships/hyperlink" Id="rId83" Target="https://doi.org/10.1093/pnasnexus/pgae076" TargetMode="External" /><Relationship Type="http://schemas.openxmlformats.org/officeDocument/2006/relationships/hyperlink" Id="rId85" Target="https://doi.org/10.1093/pnasnexus/pgae137" TargetMode="External" /><Relationship Type="http://schemas.openxmlformats.org/officeDocument/2006/relationships/hyperlink" Id="rId77" Target="https://doi.org/10.1109/86.895946" TargetMode="External" /><Relationship Type="http://schemas.openxmlformats.org/officeDocument/2006/relationships/hyperlink" Id="rId79" Target="https://doi.org/10.1109/msp.2008.4408441" TargetMode="External" /><Relationship Type="http://schemas.openxmlformats.org/officeDocument/2006/relationships/hyperlink" Id="rId87" Target="https://doi.org/10.82901/nemar.nm000177.v1.0.5" TargetMode="External" /><Relationship Type="http://schemas.openxmlformats.org/officeDocument/2006/relationships/hyperlink" Id="rId37" Target="https://github.com/jackzhu119/few-shot-mi-eeg" TargetMode="External" /><Relationship Type="http://schemas.openxmlformats.org/officeDocument/2006/relationships/hyperlink" Id="rId59" Target="https://github.com/jackzhu119/few-shot-mi-eeg/blob/90e9d41ddc8f3e17316fdaf80331094fa7739520/CROSS_SESSION_RESULTS.md" TargetMode="External" /><Relationship Type="http://schemas.openxmlformats.org/officeDocument/2006/relationships/hyperlink" Id="rId62" Target="https://github.com/jackzhu119/few-shot-mi-eeg/blob/90e9d41ddc8f3e17316fdaf80331094fa7739520/EEGNET_TRAINING_PLAN.md" TargetMode="External" /><Relationship Type="http://schemas.openxmlformats.org/officeDocument/2006/relationships/hyperlink" Id="rId54" Target="https://github.com/jackzhu119/few-shot-mi-eeg/blob/90e9d41ddc8f3e17316fdaf80331094fa7739520/KUMAR_FROZEN_EXPERIMENT_PROTOCOL.md" TargetMode="External" /><Relationship Type="http://schemas.openxmlformats.org/officeDocument/2006/relationships/hyperlink" Id="rId58" Target="https://github.com/jackzhu119/few-shot-mi-eeg/blob/90e9d41ddc8f3e17316fdaf80331094fa7739520/TASK_AWARE_ADAPTATION_RESEARCH_PLAN.md" TargetMode="External" /><Relationship Type="http://schemas.openxmlformats.org/officeDocument/2006/relationships/hyperlink" Id="rId55" Target="https://github.com/jackzhu119/few-shot-mi-eeg/blob/90e9d41ddc8f3e17316fdaf80331094fa7739520/configs/kumar_cross_session_20261012.json" TargetMode="External" /><Relationship Type="http://schemas.openxmlformats.org/officeDocument/2006/relationships/hyperlink" Id="rId63" Target="https://github.com/jackzhu119/few-shot-mi-eeg/blob/90e9d41ddc8f3e17316fdaf80331094fa7739520/configs/kumar_eegnet_gpu_development_20261014.json" TargetMode="External" /><Relationship Type="http://schemas.openxmlformats.org/officeDocument/2006/relationships/hyperlink" Id="rId65" Target="https://github.com/jackzhu119/few-shot-mi-eeg/blob/90e9d41ddc8f3e17316fdaf80331094fa7739520/docs/kumar_frozen_checkpoint_query_protocol_20261015.md" TargetMode="External" /><Relationship Type="http://schemas.openxmlformats.org/officeDocument/2006/relationships/hyperlink" Id="rId51" Target="https://github.com/jackzhu119/few-shot-mi-eeg/blob/90e9d41ddc8f3e17316fdaf80331094fa7739520/manuscript/kumar_supplementary_methods_20261015.md" TargetMode="External" /><Relationship Type="http://schemas.openxmlformats.org/officeDocument/2006/relationships/hyperlink" Id="rId64" Target="https://github.com/jackzhu119/few-shot-mi-eeg/blob/90e9d41ddc8f3e17316fdaf80331094fa7739520/research_logs/kumar_all54_source_aggregation_20261015/run01/summary.json" TargetMode="External" /><Relationship Type="http://schemas.openxmlformats.org/officeDocument/2006/relationships/hyperlink" Id="rId60" Target="https://github.com/jackzhu119/few-shot-mi-eeg/blob/90e9d41ddc8f3e17316fdaf80331094fa7739520/research_logs/kumar_cross_session_20261012/baselines/cpu_run01_20261013T151445Z/execution_receipt.json" TargetMode="External" /><Relationship Type="http://schemas.openxmlformats.org/officeDocument/2006/relationships/hyperlink" Id="rId61" Target="https://github.com/jackzhu119/few-shot-mi-eeg/blob/90e9d41ddc8f3e17316fdaf80331094fa7739520/research_logs/kumar_cross_session_20261012/baselines/cpu_run01_20261013T151445Z/participant_endpoints.csv" TargetMode="External" /><Relationship Type="http://schemas.openxmlformats.org/officeDocument/2006/relationships/hyperlink" Id="rId72" Target="https://github.com/jackzhu119/few-shot-mi-eeg/blob/90e9d41ddc8f3e17316fdaf80331094fa7739520/research_logs/kumar_cross_session_20261012/lowdim_reliability_dev_run01_20261014/REPORT.md" TargetMode="External" /><Relationship Type="http://schemas.openxmlformats.org/officeDocument/2006/relationships/hyperlink" Id="rId56" Target="https://github.com/jackzhu119/few-shot-mi-eeg/blob/90e9d41ddc8f3e17316fdaf80331094fa7739520/research_logs/kumar_cross_session_20261012/protocol/split_manifest.json" TargetMode="External" /><Relationship Type="http://schemas.openxmlformats.org/officeDocument/2006/relationships/hyperlink" Id="rId57" Target="https://github.com/jackzhu119/few-shot-mi-eeg/blob/90e9d41ddc8f3e17316fdaf80331094fa7739520/research_logs/kumar_cross_session_20261012/protocol/task_aware_analysis_plan_frozen_20261013.md" TargetMode="External" /><Relationship Type="http://schemas.openxmlformats.org/officeDocument/2006/relationships/hyperlink" Id="rId73" Target="https://github.com/jackzhu119/few-shot-mi-eeg/blob/90e9d41ddc8f3e17316fdaf80331094fa7739520/research_logs/kumar_csp_signed_score_execution_20261015/run02/REPORT.md" TargetMode="External" /><Relationship Type="http://schemas.openxmlformats.org/officeDocument/2006/relationships/hyperlink" Id="rId68" Target="https://github.com/jackzhu119/few-shot-mi-eeg/blob/90e9d41ddc8f3e17316fdaf80331094fa7739520/research_logs/kumar_frozen_query_acceptance_20261015/run01/parent_acknowledged.json" TargetMode="External" /><Relationship Type="http://schemas.openxmlformats.org/officeDocument/2006/relationships/hyperlink" Id="rId69" Target="https://github.com/jackzhu119/few-shot-mi-eeg/blob/90e9d41ddc8f3e17316fdaf80331094fa7739520/research_logs/kumar_frozen_query_comparison_20261015/run01/cohort_method_endpoint_summary.csv" TargetMode="External" /><Relationship Type="http://schemas.openxmlformats.org/officeDocument/2006/relationships/hyperlink" Id="rId71" Target="https://github.com/jackzhu119/few-shot-mi-eeg/blob/90e9d41ddc8f3e17316fdaf80331094fa7739520/research_logs/kumar_frozen_query_comparison_20261015/run01/comparison_receipt.json" TargetMode="External" /><Relationship Type="http://schemas.openxmlformats.org/officeDocument/2006/relationships/hyperlink" Id="rId70" Target="https://github.com/jackzhu119/few-shot-mi-eeg/blob/90e9d41ddc8f3e17316fdaf80331094fa7739520/research_logs/kumar_frozen_query_comparison_20261015/run01/per_participant_endpoints.csv" TargetMode="External" /><Relationship Type="http://schemas.openxmlformats.org/officeDocument/2006/relationships/hyperlink" Id="rId66" Target="https://github.com/jackzhu119/few-shot-mi-eeg/blob/90e9d41ddc8f3e17316fdaf80331094fa7739520/research_logs/kumar_frozen_query_execution_audit_20261015/run01/REPORT.md" TargetMode="External" /><Relationship Type="http://schemas.openxmlformats.org/officeDocument/2006/relationships/hyperlink" Id="rId67" Target="https://github.com/jackzhu119/few-shot-mi-eeg/blob/90e9d41ddc8f3e17316fdaf80331094fa7739520/research_logs/kumar_frozen_query_execution_audit_20261015/run01/per_participant_frozen_query_summary.csv" TargetMode="External" /><Relationship Type="http://schemas.openxmlformats.org/officeDocument/2006/relationships/hyperlink" Id="rId20" Target="https://orcid.org/0009-0005-1153-4926" TargetMode="External" /></Relationships>
</file>

<file path=word/_rels/footnotes.xml.rels><?xml version="1.0" encoding="UTF-8"?><Relationships xmlns="http://schemas.openxmlformats.org/package/2006/relationships"><Relationship Type="http://schemas.openxmlformats.org/officeDocument/2006/relationships/hyperlink" Id="rId23" Target="https://data.nemar.org/nm000177/v1.0.5/README.md" TargetMode="External" /><Relationship Type="http://schemas.openxmlformats.org/officeDocument/2006/relationships/hyperlink" Id="rId91" Target="https://doi.org/10.1002/hbm.23730" TargetMode="External" /><Relationship Type="http://schemas.openxmlformats.org/officeDocument/2006/relationships/hyperlink" Id="rId93" Target="https://doi.org/10.1016/s0047-259x(03)00096-4" TargetMode="External" /><Relationship Type="http://schemas.openxmlformats.org/officeDocument/2006/relationships/hyperlink" Id="rId75" Target="https://doi.org/10.1088/1741-2552/aab2f2" TargetMode="External" /><Relationship Type="http://schemas.openxmlformats.org/officeDocument/2006/relationships/hyperlink" Id="rId81" Target="https://doi.org/10.1088/1741-2552/aace8c" TargetMode="External" /><Relationship Type="http://schemas.openxmlformats.org/officeDocument/2006/relationships/hyperlink" Id="rId89" Target="https://doi.org/10.1088/1741-2552/aadea0" TargetMode="External" /><Relationship Type="http://schemas.openxmlformats.org/officeDocument/2006/relationships/hyperlink" Id="rId83" Target="https://doi.org/10.1093/pnasnexus/pgae076" TargetMode="External" /><Relationship Type="http://schemas.openxmlformats.org/officeDocument/2006/relationships/hyperlink" Id="rId85" Target="https://doi.org/10.1093/pnasnexus/pgae137" TargetMode="External" /><Relationship Type="http://schemas.openxmlformats.org/officeDocument/2006/relationships/hyperlink" Id="rId77" Target="https://doi.org/10.1109/86.895946" TargetMode="External" /><Relationship Type="http://schemas.openxmlformats.org/officeDocument/2006/relationships/hyperlink" Id="rId79" Target="https://doi.org/10.1109/msp.2008.4408441" TargetMode="External" /><Relationship Type="http://schemas.openxmlformats.org/officeDocument/2006/relationships/hyperlink" Id="rId87" Target="https://doi.org/10.82901/nemar.nm000177.v1.0.5" TargetMode="External" /><Relationship Type="http://schemas.openxmlformats.org/officeDocument/2006/relationships/hyperlink" Id="rId37" Target="https://github.com/jackzhu119/few-shot-mi-eeg" TargetMode="External" /><Relationship Type="http://schemas.openxmlformats.org/officeDocument/2006/relationships/hyperlink" Id="rId59" Target="https://github.com/jackzhu119/few-shot-mi-eeg/blob/90e9d41ddc8f3e17316fdaf80331094fa7739520/CROSS_SESSION_RESULTS.md" TargetMode="External" /><Relationship Type="http://schemas.openxmlformats.org/officeDocument/2006/relationships/hyperlink" Id="rId62" Target="https://github.com/jackzhu119/few-shot-mi-eeg/blob/90e9d41ddc8f3e17316fdaf80331094fa7739520/EEGNET_TRAINING_PLAN.md" TargetMode="External" /><Relationship Type="http://schemas.openxmlformats.org/officeDocument/2006/relationships/hyperlink" Id="rId54" Target="https://github.com/jackzhu119/few-shot-mi-eeg/blob/90e9d41ddc8f3e17316fdaf80331094fa7739520/KUMAR_FROZEN_EXPERIMENT_PROTOCOL.md" TargetMode="External" /><Relationship Type="http://schemas.openxmlformats.org/officeDocument/2006/relationships/hyperlink" Id="rId58" Target="https://github.com/jackzhu119/few-shot-mi-eeg/blob/90e9d41ddc8f3e17316fdaf80331094fa7739520/TASK_AWARE_ADAPTATION_RESEARCH_PLAN.md" TargetMode="External" /><Relationship Type="http://schemas.openxmlformats.org/officeDocument/2006/relationships/hyperlink" Id="rId55" Target="https://github.com/jackzhu119/few-shot-mi-eeg/blob/90e9d41ddc8f3e17316fdaf80331094fa7739520/configs/kumar_cross_session_20261012.json" TargetMode="External" /><Relationship Type="http://schemas.openxmlformats.org/officeDocument/2006/relationships/hyperlink" Id="rId63" Target="https://github.com/jackzhu119/few-shot-mi-eeg/blob/90e9d41ddc8f3e17316fdaf80331094fa7739520/configs/kumar_eegnet_gpu_development_20261014.json" TargetMode="External" /><Relationship Type="http://schemas.openxmlformats.org/officeDocument/2006/relationships/hyperlink" Id="rId65" Target="https://github.com/jackzhu119/few-shot-mi-eeg/blob/90e9d41ddc8f3e17316fdaf80331094fa7739520/docs/kumar_frozen_checkpoint_query_protocol_20261015.md" TargetMode="External" /><Relationship Type="http://schemas.openxmlformats.org/officeDocument/2006/relationships/hyperlink" Id="rId51" Target="https://github.com/jackzhu119/few-shot-mi-eeg/blob/90e9d41ddc8f3e17316fdaf80331094fa7739520/manuscript/kumar_supplementary_methods_20261015.md" TargetMode="External" /><Relationship Type="http://schemas.openxmlformats.org/officeDocument/2006/relationships/hyperlink" Id="rId64" Target="https://github.com/jackzhu119/few-shot-mi-eeg/blob/90e9d41ddc8f3e17316fdaf80331094fa7739520/research_logs/kumar_all54_source_aggregation_20261015/run01/summary.json" TargetMode="External" /><Relationship Type="http://schemas.openxmlformats.org/officeDocument/2006/relationships/hyperlink" Id="rId60" Target="https://github.com/jackzhu119/few-shot-mi-eeg/blob/90e9d41ddc8f3e17316fdaf80331094fa7739520/research_logs/kumar_cross_session_20261012/baselines/cpu_run01_20261013T151445Z/execution_receipt.json" TargetMode="External" /><Relationship Type="http://schemas.openxmlformats.org/officeDocument/2006/relationships/hyperlink" Id="rId61" Target="https://github.com/jackzhu119/few-shot-mi-eeg/blob/90e9d41ddc8f3e17316fdaf80331094fa7739520/research_logs/kumar_cross_session_20261012/baselines/cpu_run01_20261013T151445Z/participant_endpoints.csv" TargetMode="External" /><Relationship Type="http://schemas.openxmlformats.org/officeDocument/2006/relationships/hyperlink" Id="rId72" Target="https://github.com/jackzhu119/few-shot-mi-eeg/blob/90e9d41ddc8f3e17316fdaf80331094fa7739520/research_logs/kumar_cross_session_20261012/lowdim_reliability_dev_run01_20261014/REPORT.md" TargetMode="External" /><Relationship Type="http://schemas.openxmlformats.org/officeDocument/2006/relationships/hyperlink" Id="rId56" Target="https://github.com/jackzhu119/few-shot-mi-eeg/blob/90e9d41ddc8f3e17316fdaf80331094fa7739520/research_logs/kumar_cross_session_20261012/protocol/split_manifest.json" TargetMode="External" /><Relationship Type="http://schemas.openxmlformats.org/officeDocument/2006/relationships/hyperlink" Id="rId57" Target="https://github.com/jackzhu119/few-shot-mi-eeg/blob/90e9d41ddc8f3e17316fdaf80331094fa7739520/research_logs/kumar_cross_session_20261012/protocol/task_aware_analysis_plan_frozen_20261013.md" TargetMode="External" /><Relationship Type="http://schemas.openxmlformats.org/officeDocument/2006/relationships/hyperlink" Id="rId73" Target="https://github.com/jackzhu119/few-shot-mi-eeg/blob/90e9d41ddc8f3e17316fdaf80331094fa7739520/research_logs/kumar_csp_signed_score_execution_20261015/run02/REPORT.md" TargetMode="External" /><Relationship Type="http://schemas.openxmlformats.org/officeDocument/2006/relationships/hyperlink" Id="rId68" Target="https://github.com/jackzhu119/few-shot-mi-eeg/blob/90e9d41ddc8f3e17316fdaf80331094fa7739520/research_logs/kumar_frozen_query_acceptance_20261015/run01/parent_acknowledged.json" TargetMode="External" /><Relationship Type="http://schemas.openxmlformats.org/officeDocument/2006/relationships/hyperlink" Id="rId69" Target="https://github.com/jackzhu119/few-shot-mi-eeg/blob/90e9d41ddc8f3e17316fdaf80331094fa7739520/research_logs/kumar_frozen_query_comparison_20261015/run01/cohort_method_endpoint_summary.csv" TargetMode="External" /><Relationship Type="http://schemas.openxmlformats.org/officeDocument/2006/relationships/hyperlink" Id="rId71" Target="https://github.com/jackzhu119/few-shot-mi-eeg/blob/90e9d41ddc8f3e17316fdaf80331094fa7739520/research_logs/kumar_frozen_query_comparison_20261015/run01/comparison_receipt.json" TargetMode="External" /><Relationship Type="http://schemas.openxmlformats.org/officeDocument/2006/relationships/hyperlink" Id="rId70" Target="https://github.com/jackzhu119/few-shot-mi-eeg/blob/90e9d41ddc8f3e17316fdaf80331094fa7739520/research_logs/kumar_frozen_query_comparison_20261015/run01/per_participant_endpoints.csv" TargetMode="External" /><Relationship Type="http://schemas.openxmlformats.org/officeDocument/2006/relationships/hyperlink" Id="rId66" Target="https://github.com/jackzhu119/few-shot-mi-eeg/blob/90e9d41ddc8f3e17316fdaf80331094fa7739520/research_logs/kumar_frozen_query_execution_audit_20261015/run01/REPORT.md" TargetMode="External" /><Relationship Type="http://schemas.openxmlformats.org/officeDocument/2006/relationships/hyperlink" Id="rId67" Target="https://github.com/jackzhu119/few-shot-mi-eeg/blob/90e9d41ddc8f3e17316fdaf80331094fa7739520/research_logs/kumar_frozen_query_execution_audit_20261015/run01/per_participant_frozen_query_summary.csv" TargetMode="External" /><Relationship Type="http://schemas.openxmlformats.org/officeDocument/2006/relationships/hyperlink" Id="rId20" Target="https://orcid.org/0009-0005-1153-49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Longitudinal Motor-Imagery EEG Decoding: Frozen Baselines, Supervised Recalibration, and Task-Measurement Reliability</dc:title>
  <dc:creator/>
  <dc:language>en-US</dc:language>
  <cp:keywords/>
  <dcterms:created xsi:type="dcterms:W3CDTF">2026-10-15T11:11:39Z</dcterms:created>
  <dcterms:modified xsi:type="dcterms:W3CDTF">2026-10-15T11:11:39Z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/workspace/few-shot-mi-eeg/manuscript/kumar_references_20261015.bib</vt:lpwstr>
  </property>
  <property fmtid="{D5CDD505-2E9C-101B-9397-08002B2CF9AE}" pid="3" name="csl">
    <vt:lpwstr>/workspace/few-shot-mi-eeg/manuscript/review_package_author_confirmed_20261015/plos.csl</vt:lpwstr>
  </property>
  <property fmtid="{D5CDD505-2E9C-101B-9397-08002B2CF9AE}" pid="4" name="link-citations">
    <vt:lpwstr>True</vt:lpwstr>
  </property>
</Properties>
</file>