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ver-letter-author-review-draft"/>
    <w:p>
      <w:pPr>
        <w:pStyle w:val="Title"/>
        <w:keepNext/>
        <w:keepLines/>
        <w:spacing w:before="480" w:after="0"/>
      </w:pPr>
      <w:r>
        <w:rPr>
          <w:rFonts w:ascii="Calibri" w:hAnsi="Calibri"/>
          <w:b/>
          <w:color w:val="000000"/>
          <w:sz w:val="32"/>
        </w:rPr>
        <w:t xml:space="preserve">Cover letter</w:t>
      </w:r>
    </w:p>
    <w:p>
      <w:pPr>
        <w:pStyle w:val="FirstParagraph"/>
      </w:pPr>
      <w:r>
        <w:t xml:space="preserve">Dear Professor Haueisen,</w:t>
      </w:r>
    </w:p>
    <w:p>
      <w:pPr>
        <w:pStyle w:val="BodyText"/>
      </w:pPr>
      <w:r>
        <w:t xml:space="preserve">Please consider our Research Article,</w:t>
      </w:r>
      <w:r>
        <w:t xml:space="preserve"> </w:t>
      </w:r>
      <w:r>
        <w:t xml:space="preserve">“</w:t>
      </w:r>
      <w:r>
        <w:t xml:space="preserve">Matched-label analysis identifies spatial refitting and alignment gains in motor-imagery EEG,</w:t>
      </w:r>
      <w:r>
        <w:t xml:space="preserve">”</w:t>
      </w:r>
      <w:r>
        <w:t xml:space="preserve"> </w:t>
      </w:r>
      <w:r>
        <w:t xml:space="preserve">for Biomedical Engineering / Biomedizinische Technik.</w:t>
      </w:r>
    </w:p>
    <w:p>
      <w:pPr>
        <w:pStyle w:val="BodyText"/>
      </w:pPr>
      <w:r>
        <w:t xml:space="preserve">The study quantifies the additional value of spatial refitting and support-only alignment when a new recording session provides approximately 20 labels. In the predefined 12-participant cohort, full common-spatial-pattern/linear-discriminant-analysis refitting added 5.47 percentage points of balanced accuracy beyond classifier-only recalibration (95 % participant-bootstrap interval 2.17–8.91). It accounted for 73.7 % of the total mean improvement over frozen decoding. Trial-level prediction transitions and longitudinal participant analyses explain this component contribution.</w:t>
      </w:r>
    </w:p>
    <w:p>
      <w:pPr>
        <w:pStyle w:val="BodyText"/>
      </w:pPr>
      <w:r>
        <w:t xml:space="preserve">In the secondary comparison in nine BNCI2014-001 participants, support-only EA-CSP improved on full refitting by 5.65 points (3.15–8.70; Holm-adjusted p=0.01172), with positive differences in all nine participants. Full refitting and classifier-only recalibration differed by +0.19 points (95 % interval −1.85 to 2.13).</w:t>
      </w:r>
    </w:p>
    <w:p>
      <w:pPr>
        <w:pStyle w:val="BodyText"/>
      </w:pPr>
      <w:r>
        <w:t xml:space="preserve">Exploratory experiments in the six development participants extended the comparison to neural normalization. At the 20-label cap, weight adaptation with fixed source normalization achieved 1.50–1.91 percentage points higher balanced accuracy than adaptive normalization across two source-model regimes. The complete budget profiles show how this effect varies with calibration size.</w:t>
      </w:r>
    </w:p>
    <w:p>
      <w:pPr>
        <w:pStyle w:val="BodyText"/>
      </w:pPr>
      <w:r>
        <w:t xml:space="preserve">The manuscript fits the journal’s biosignal-processing and neuro-engineering scope. Public data provenance, the regulatory basis for secondary use, code and data availability, and substantive AI assistance are documented in the separate ethical and legal declarations.</w:t>
      </w:r>
    </w:p>
    <w:p>
      <w:pPr>
        <w:pStyle w:val="BodyText"/>
      </w:pPr>
      <w:r>
        <w:rPr>
          <w:b w:val="0"/>
          <w:bCs/>
        </w:rPr>
        <w:t xml:space="preserve">Both authors have approved this manuscript and its submission.</w:t>
      </w:r>
      <w:r>
        <w:rPr>
          <w:b w:val="0"/>
        </w:rPr>
        <w:t xml:space="preserve"> </w:t>
      </w:r>
      <w:r>
        <w:rPr>
          <w:b w:val="0"/>
        </w:rPr>
        <w:t xml:space="preserve">The manuscript is not under consideration by another journal. Five suggested reviewers are provided in the accompanying submission information.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Ziyuan Zhu</w:t>
      </w:r>
    </w:p>
    <w:p>
      <w:pPr>
        <w:pStyle w:val="BodyText"/>
      </w:pPr>
      <w:r>
        <w:t>Corresponding author, on behalf of Ziyuan Zhu and Sihao Liu</w:t>
      </w:r>
    </w:p>
    <w:p>
      <w:pPr>
        <w:pStyle w:val="BodyText"/>
      </w:pPr>
      <w:r>
        <w:t xml:space="preserve">College of Artificial Intelligence Medicine, Chongqing Medical University, Chongqing, China</w:t>
      </w:r>
    </w:p>
    <w:p>
      <w:pPr>
        <w:pStyle w:val="BodyText"/>
      </w:pPr>
      <w:r>
        <w:t xml:space="preserve">zzy2630816871@gmail.com</w:t>
      </w:r>
    </w:p>
    <w:p>
      <w:pPr>
        <w:pStyle w:val="BodyText"/>
      </w:pPr>
      <w:r>
        <w:t xml:space="preserve">ORCID: https://orcid.org/0009-0005-1153-4926</w:t>
      </w:r>
    </w:p>
    <w:bookmarkEnd w:id="20"/>
    <w:sectPr>
      <w:footerReference w:type="default" r:id="rId9"/>
      <w:pgSz w:w="11906" w:h="16838"/>
      <w:pgMar w:top="1134" w:bottom="1134" w:left="936" w:right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after="120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240" w:lineRule="auto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 w:after="12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20" w:before="36" w:line="240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240" w:lineRule="auto" w:after="120"/>
    </w:pPr>
    <w:rPr>
      <w:rFonts w:ascii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Ziyuan Zhu; Sihao Liu</dc:creator>
  <cp:keywords/>
  <dcterms:created xsi:type="dcterms:W3CDTF">2026-10-27T07:21:10Z</dcterms:created>
  <dcterms:modified xsi:type="dcterms:W3CDTF">2026-10-27T07:21:10Z</dcterms:modified>
  <dc:subject>Biomedical Engineering / Biomedizinische Technik Research Article submission version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