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3143ec0cc5781aadd2bdea35a67a79bd4d8d00"/>
    <w:p>
      <w:pPr>
        <w:pStyle w:val="Title"/>
        <w:keepNext/>
        <w:keepLines/>
        <w:spacing w:before="480" w:after="0"/>
      </w:pPr>
      <w:r>
        <w:rPr>
          <w:rFonts w:ascii="Calibri" w:hAnsi="Calibri"/>
          <w:b/>
          <w:color w:val="000000"/>
          <w:sz w:val="32"/>
        </w:rPr>
        <w:t xml:space="preserve">Supplementary methods: spatial refitting and alignment</w:t>
      </w:r>
    </w:p>
    <w:p>
      <w:pPr>
        <w:pStyle w:val="FirstParagraph"/>
      </w:pPr>
      <w:r>
        <w:t xml:space="preserve">This supplement accompanies</w:t>
      </w:r>
      <w:r>
        <w:t xml:space="preserve"> </w:t>
      </w:r>
      <w:r>
        <w:rPr>
          <w:i/>
          <w:iCs/>
        </w:rPr>
        <w:t xml:space="preserve">Matched-label analysis identifies spatial refitting and alignment gains in motor-imagery EEG</w:t>
      </w:r>
      <w:r>
        <w:t xml:space="preserve">. It defines the matched-label component analysis, original comparison and subsequent component experiments. The accompanying data package contains the participant tables, prediction identities and reproduction scripts.</w:t>
      </w:r>
    </w:p>
    <w:p>
      <w:pPr>
        <w:pStyle w:val="FirstParagraph"/>
      </w:pPr>
      <w:r>
        <w:rPr>
          <w:b/>
        </w:rPr>
        <w:t xml:space="preserve">Abbreviations: </w:t>
      </w:r>
      <w:r>
        <w:t>AR, autoregressive; BA, balanced accuracy; BCI, brain–computer interface; BN, batch normalization; CSP, common spatial patterns; EA, Euclidean alignment; EEG, electroencephalography; KL, Kullback–Leibler divergence; LDA, linear discriminant analysis; MI, motor imagery; SOS, second-order sections; SPD, symmetric positive-definite.</w:t>
      </w:r>
    </w:p>
    <w:bookmarkStart w:id="20" w:name="X20c6644e2aa8a1b46013dd25efab06e0469a79b"/>
    <w:p>
      <w:pPr>
        <w:pStyle w:val="Heading2"/>
      </w:pPr>
      <w:r>
        <w:rPr>
          <w:color w:val="000000"/>
        </w:rPr>
        <w:t xml:space="preserve">S 1. Kumar analysis layers and statistical units</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spacing w:after="80"/>
              <w:jc w:val="left"/>
            </w:pPr>
            <w:r>
              <w:rPr>
                <w:b/>
                <w:sz w:val="18"/>
              </w:rPr>
              <w:t xml:space="preserve">Layer</w:t>
            </w:r>
          </w:p>
        </w:tc>
        <w:tc>
          <w:tcPr/>
          <w:p>
            <w:pPr>
              <w:pStyle w:val="Compact"/>
              <w:spacing w:after="80"/>
              <w:jc w:val="left"/>
            </w:pPr>
            <w:r>
              <w:rPr>
                <w:b/>
                <w:sz w:val="18"/>
              </w:rPr>
              <w:t xml:space="preserve">Participants</w:t>
            </w:r>
          </w:p>
        </w:tc>
        <w:tc>
          <w:tcPr/>
          <w:p>
            <w:pPr>
              <w:pStyle w:val="Compact"/>
              <w:spacing w:after="80"/>
              <w:jc w:val="left"/>
            </w:pPr>
            <w:r>
              <w:rPr>
                <w:b/>
                <w:sz w:val="18"/>
              </w:rPr>
              <w:t xml:space="preserve">Scientific role</w:t>
            </w:r>
          </w:p>
        </w:tc>
        <w:tc>
          <w:tcPr/>
          <w:p>
            <w:pPr>
              <w:pStyle w:val="Compact"/>
              <w:spacing w:after="80"/>
              <w:jc w:val="left"/>
            </w:pPr>
            <w:r>
              <w:rPr>
                <w:b/>
                <w:sz w:val="18"/>
              </w:rPr>
              <w:t xml:space="preserve">Model/seed information</w:t>
            </w:r>
          </w:p>
        </w:tc>
        <w:tc>
          <w:tcPr/>
          <w:p>
            <w:pPr>
              <w:pStyle w:val="Compact"/>
              <w:spacing w:after="80"/>
              <w:jc w:val="left"/>
            </w:pPr>
            <w:r>
              <w:rPr>
                <w:b/>
                <w:sz w:val="18"/>
              </w:rPr>
              <w:t xml:space="preserve">Selection status</w:t>
            </w:r>
          </w:p>
        </w:tc>
      </w:tr>
      <w:tr>
        <w:tc>
          <w:tcPr/>
          <w:p>
            <w:pPr>
              <w:pStyle w:val="Compact"/>
              <w:spacing w:after="80"/>
              <w:jc w:val="left"/>
            </w:pPr>
            <w:r>
              <w:rPr>
                <w:sz w:val="18"/>
              </w:rPr>
              <w:t xml:space="preserve">Original comparison</w:t>
            </w:r>
          </w:p>
        </w:tc>
        <w:tc>
          <w:tcPr/>
          <w:p>
            <w:pPr>
              <w:pStyle w:val="Compact"/>
              <w:spacing w:after="80"/>
              <w:jc w:val="left"/>
            </w:pPr>
            <w:r>
              <w:rPr>
                <w:sz w:val="18"/>
              </w:rPr>
              <w:t xml:space="preserve">18, partitioned as six development and 12 primary</w:t>
            </w:r>
          </w:p>
        </w:tc>
        <w:tc>
          <w:tcPr/>
          <w:p>
            <w:pPr>
              <w:pStyle w:val="Compact"/>
              <w:spacing w:after="80"/>
              <w:jc w:val="left"/>
            </w:pPr>
            <w:r>
              <w:rPr>
                <w:sz w:val="18"/>
              </w:rPr>
              <w:t xml:space="preserve">Full CSP/LDA minus frozen was the primary contrast; full minus LDA-only was secondary</w:t>
            </w:r>
          </w:p>
        </w:tc>
        <w:tc>
          <w:tcPr/>
          <w:p>
            <w:pPr>
              <w:pStyle w:val="Compact"/>
              <w:spacing w:after="80"/>
              <w:jc w:val="left"/>
            </w:pPr>
            <w:r>
              <w:rPr>
                <w:sz w:val="18"/>
              </w:rPr>
              <w:t xml:space="preserve">Original EEGNet reference: three seeds and 54 source models</w:t>
            </w:r>
          </w:p>
        </w:tc>
        <w:tc>
          <w:tcPr/>
          <w:p>
            <w:pPr>
              <w:pStyle w:val="Compact"/>
              <w:spacing w:after="80"/>
              <w:jc w:val="left"/>
            </w:pPr>
            <w:r>
              <w:rPr>
                <w:sz w:val="18"/>
              </w:rPr>
              <w:t xml:space="preserve">Original pipeline and endpoint hierarchy frozen before primary performance calculation; prior exploratory exposure retained in the record</w:t>
            </w:r>
          </w:p>
        </w:tc>
      </w:tr>
      <w:tr>
        <w:tc>
          <w:tcPr/>
          <w:p>
            <w:pPr>
              <w:pStyle w:val="Compact"/>
              <w:spacing w:after="80"/>
              <w:jc w:val="left"/>
            </w:pPr>
            <w:r>
              <w:rPr>
                <w:sz w:val="18"/>
              </w:rPr>
              <w:t xml:space="preserve">V2 extension</w:t>
            </w:r>
          </w:p>
        </w:tc>
        <w:tc>
          <w:tcPr/>
          <w:p>
            <w:pPr>
              <w:pStyle w:val="Compact"/>
              <w:spacing w:after="80"/>
              <w:jc w:val="left"/>
            </w:pPr>
            <w:r>
              <w:rPr>
                <w:sz w:val="18"/>
              </w:rPr>
              <w:t xml:space="preserve">The same six development participants</w:t>
            </w:r>
          </w:p>
        </w:tc>
        <w:tc>
          <w:tcPr/>
          <w:p>
            <w:pPr>
              <w:pStyle w:val="Compact"/>
              <w:spacing w:after="80"/>
              <w:jc w:val="left"/>
            </w:pPr>
            <w:r>
              <w:rPr>
                <w:sz w:val="18"/>
              </w:rPr>
              <w:t xml:space="preserve">Candidate covariance mixture versus EA-CSP; support-budget and neural diagnostics</w:t>
            </w:r>
          </w:p>
        </w:tc>
        <w:tc>
          <w:tcPr/>
          <w:p>
            <w:pPr>
              <w:pStyle w:val="Compact"/>
              <w:spacing w:after="80"/>
              <w:jc w:val="left"/>
            </w:pPr>
            <w:r>
              <w:rPr>
                <w:sz w:val="18"/>
              </w:rPr>
              <w:t xml:space="preserve">18 separately versioned individual sources</w:t>
            </w:r>
          </w:p>
        </w:tc>
        <w:tc>
          <w:tcPr/>
          <w:p>
            <w:pPr>
              <w:pStyle w:val="Compact"/>
              <w:spacing w:after="80"/>
              <w:jc w:val="left"/>
            </w:pPr>
            <w:r>
              <w:rPr>
                <w:sz w:val="18"/>
              </w:rPr>
              <w:t xml:space="preserve">Later design informed by earlier results</w:t>
            </w:r>
          </w:p>
        </w:tc>
      </w:tr>
      <w:tr>
        <w:tc>
          <w:tcPr/>
          <w:p>
            <w:pPr>
              <w:pStyle w:val="Compact"/>
              <w:spacing w:after="80"/>
              <w:jc w:val="left"/>
            </w:pPr>
            <w:r>
              <w:rPr>
                <w:sz w:val="18"/>
              </w:rPr>
              <w:t xml:space="preserve">V3 extension</w:t>
            </w:r>
          </w:p>
        </w:tc>
        <w:tc>
          <w:tcPr/>
          <w:p>
            <w:pPr>
              <w:pStyle w:val="Compact"/>
              <w:spacing w:after="80"/>
              <w:jc w:val="left"/>
            </w:pPr>
            <w:r>
              <w:rPr>
                <w:sz w:val="18"/>
              </w:rPr>
              <w:t xml:space="preserve">The same six development participants</w:t>
            </w:r>
          </w:p>
        </w:tc>
        <w:tc>
          <w:tcPr/>
          <w:p>
            <w:pPr>
              <w:pStyle w:val="Compact"/>
              <w:spacing w:after="80"/>
              <w:jc w:val="left"/>
            </w:pPr>
            <w:r>
              <w:rPr>
                <w:sz w:val="18"/>
              </w:rPr>
              <w:t xml:space="preserve">Predefined candidate comparisons and component mechanisms</w:t>
            </w:r>
          </w:p>
        </w:tc>
        <w:tc>
          <w:tcPr/>
          <w:p>
            <w:pPr>
              <w:pStyle w:val="Compact"/>
              <w:spacing w:after="80"/>
              <w:jc w:val="left"/>
            </w:pPr>
            <w:r>
              <w:rPr>
                <w:sz w:val="18"/>
              </w:rPr>
              <w:t xml:space="preserve">Read-only reuse of 18 V2 sources; three new pooled sources; all fixed seeds</w:t>
            </w:r>
          </w:p>
        </w:tc>
        <w:tc>
          <w:tcPr/>
          <w:p>
            <w:pPr>
              <w:pStyle w:val="Compact"/>
              <w:spacing w:after="80"/>
              <w:jc w:val="left"/>
            </w:pPr>
            <w:r>
              <w:rPr>
                <w:sz w:val="18"/>
              </w:rPr>
              <w:t xml:space="preserve">Task matrix and comparison roles frozen before execution</w:t>
            </w:r>
          </w:p>
        </w:tc>
      </w:tr>
      <w:tr>
        <w:tc>
          <w:tcPr/>
          <w:p>
            <w:pPr>
              <w:pStyle w:val="Compact"/>
              <w:spacing w:after="80"/>
              <w:jc w:val="left"/>
            </w:pPr>
            <w:r>
              <w:rPr>
                <w:sz w:val="18"/>
              </w:rPr>
              <w:t xml:space="preserve">Mechanism simulation</w:t>
            </w:r>
          </w:p>
        </w:tc>
        <w:tc>
          <w:tcPr/>
          <w:p>
            <w:pPr>
              <w:pStyle w:val="Compact"/>
              <w:spacing w:after="80"/>
              <w:jc w:val="left"/>
            </w:pPr>
            <w:r>
              <w:rPr>
                <w:sz w:val="18"/>
              </w:rPr>
              <w:t xml:space="preserve">No human participants</w:t>
            </w:r>
          </w:p>
        </w:tc>
        <w:tc>
          <w:tcPr/>
          <w:p>
            <w:pPr>
              <w:pStyle w:val="Compact"/>
              <w:spacing w:after="80"/>
              <w:jc w:val="left"/>
            </w:pPr>
            <w:r>
              <w:rPr>
                <w:sz w:val="18"/>
              </w:rPr>
              <w:t xml:space="preserve">Known-mechanism estimator stress tests</w:t>
            </w:r>
          </w:p>
        </w:tc>
        <w:tc>
          <w:tcPr/>
          <w:p>
            <w:pPr>
              <w:pStyle w:val="Compact"/>
              <w:spacing w:after="80"/>
              <w:jc w:val="left"/>
            </w:pPr>
            <w:r>
              <w:rPr>
                <w:sz w:val="18"/>
              </w:rPr>
              <w:t xml:space="preserve">384 scenarios × 50 paired draws × nine methods</w:t>
            </w:r>
          </w:p>
        </w:tc>
        <w:tc>
          <w:tcPr/>
          <w:p>
            <w:pPr>
              <w:pStyle w:val="Compact"/>
              <w:spacing w:after="80"/>
              <w:jc w:val="left"/>
            </w:pPr>
            <w:r>
              <w:rPr>
                <w:sz w:val="18"/>
              </w:rPr>
              <w:t xml:space="preserve">Synthetic, with software_validation_only=true; separate from real EEG evidence</w:t>
            </w:r>
          </w:p>
        </w:tc>
      </w:tr>
    </w:tbl>
    <w:p>
      <w:pPr>
        <w:pStyle w:val="BodyText"/>
      </w:pPr>
      <w:r>
        <w:t xml:space="preserve">Participant was the independent unit for real-EEG intervals. Seeds were averaged within session and sessions within participant. V2/V3 used the same already-exposed development participants; their intervals are pointwise exploratory summaries. Pooled teachers are shared across participant evaluations, so their bootstrap uncertainty is conditional on the fitted teachers. Model, seed and repeated-prediction counts describe the nested experiments. The external cohort and its fixed endpoints are described in Section S12.</w:t>
      </w:r>
    </w:p>
    <w:bookmarkEnd w:id="20"/>
    <w:bookmarkStart w:id="22" w:name="X4d0cb16ae8d2d4b2d43d1384b4e566f64912ece"/>
    <w:p>
      <w:pPr>
        <w:pStyle w:val="Heading2"/>
      </w:pPr>
      <w:r>
        <w:rPr>
          <w:color w:val="000000"/>
        </w:rPr>
        <w:t xml:space="preserve">S 2. Exact data access and endpoint definition</w:t>
      </w:r>
    </w:p>
    <w:p>
      <w:pPr>
        <w:pStyle w:val="FirstParagraph"/>
      </w:pPr>
      <w:r>
        <w:t xml:space="preserve">The original source-training set comprised session 0/runs 0–1, validation run 2, and source query run 3. The first whole run of each later session supplied support, with subsequent whole runs reserved for query. The chronological support prefixes were capped at 4/8/12/16/20 complete trials in V2/V3; the last cap retained 19 if only 19 complete support windows were available. A prefix containing one class was preserved. Future labels were never used to balance it, choose a policy, select a model or replace a missing class.</w:t>
      </w:r>
    </w:p>
    <w:p>
      <w:pPr>
        <w:pStyle w:val="BodyText"/>
      </w:pPr>
      <w:r>
        <w:t xml:space="preserve">The two conventional updates pooled the same 40 source-training trials with the same 19/20 current-support trials. The frozen comparator used source training alone. Neural fine-tuning in V3 optimized current support only, starting from the specified source checkpoint. The functional constraint additionally evaluated the participant’s 40 source-training examples as fixed prediction anchors. Source validation selected source epochs; it did not select target adaptation epochs. The pooled source regime used the six participants’ source training/validation sets, not their query data.</w:t>
      </w:r>
    </w:p>
    <w:p>
      <w:pPr>
        <w:pStyle w:val="BodyText"/>
      </w:pPr>
      <w:r>
        <w:t xml:space="preserve">Methods evaluated on the same query set used identical ordered trial IDs and true labels. EA-CSP predictions imported from V2 were matched by these arrays and their checksums because query-hash conventions differed between versions.</w:t>
      </w:r>
    </w:p>
    <w:p>
      <w:pPr>
        <w:pStyle w:val="BodyText"/>
      </w:pPr>
      <w:r>
        <w:t xml:space="preserve">BA required both true classes. Participant target endpoints required all five sessions and all scheduled neural seeds. Undefined groups retained an explicit missing status. Source-query metrics were reported separately. The original trial exclusions and five-second window definition were retained.</w:t>
      </w:r>
    </w:p>
    <w:bookmarkStart w:id="21" w:name="cue-window-interpretation"/>
    <w:p>
      <w:pPr>
        <w:pStyle w:val="Heading3"/>
      </w:pPr>
      <w:r>
        <w:rPr>
          <w:color w:val="000000"/>
        </w:rPr>
        <w:t xml:space="preserve">Cue-window interpretation</w:t>
      </w:r>
    </w:p>
    <w:p>
      <w:pPr>
        <w:pStyle w:val="FirstParagraph"/>
      </w:pPr>
      <w:r>
        <w:t xml:space="preserve">Seven thousand one hundred fifty-six complete sample windows were retained from 7,200 exported events; 44 crossed recording boundaries. The event-code documentation and MOABB interval establish the released cue-anchored convention. Reconstructing phase-pure motor imagery for each window would additionally require original marker arrays, task-end/feedback boundaries and the precise derivative-conversion lineage. Each partial event denotes an incomplete recorded window; interpreting its task phase requires those original boundaries.</w:t>
      </w:r>
    </w:p>
    <w:bookmarkEnd w:id="21"/>
    <w:bookmarkEnd w:id="22"/>
    <w:bookmarkStart w:id="23" w:name="Xa62a7bb6a32ecb167772e39fe48873feb1642fa"/>
    <w:p>
      <w:pPr>
        <w:pStyle w:val="Heading2"/>
      </w:pPr>
      <w:r>
        <w:rPr>
          <w:color w:val="000000"/>
        </w:rPr>
        <w:t xml:space="preserve">S 3. Original prediction-transition and sensitivity definitions</w:t>
      </w:r>
    </w:p>
    <w:p>
      <w:pPr>
        <w:pStyle w:val="FirstParagraph"/>
      </w:pPr>
      <w:r>
        <w:t xml:space="preserve">For binary labels c∈{0, 1}, define C_c as the proportion of true-class-c trials that change from incorrect under A to correct under B, and E_c for the reverse transition. Then</w:t>
      </w:r>
    </w:p>
    <w:p>
      <w:pPr>
        <w:pStyle w:val="BodyText"/>
      </w:pPr>
      <m:oMathPara>
        <m:oMathParaPr>
          <m:jc m:val="center"/>
        </m:oMathParaPr>
        <m:oMath>
          <m:r>
            <m:t>Δ</m:t>
          </m:r>
          <m:r>
            <m:t>B</m:t>
          </m:r>
          <m:r>
            <m:t>A</m:t>
          </m:r>
          <m:r>
            <m:rPr>
              <m:sty m:val="p"/>
            </m:rPr>
            <m:t>=</m:t>
          </m:r>
          <m:f>
            <m:fPr>
              <m:type m:val="lin"/>
            </m:fPr>
            <m:num>
              <m:r>
                <m:t>1</m:t>
              </m:r>
            </m:num>
            <m:den>
              <m:r>
                <m:t>2</m:t>
              </m:r>
            </m:den>
          </m:f>
          <m:d>
            <m:dPr>
              <m:begChr m:val="("/>
              <m:endChr m:val=")"/>
              <m:sepChr m:val=""/>
              <m:grow/>
            </m:dPr>
            <m:e>
              <m:sSub>
                <m:e>
                  <m:r>
                    <m:t>C</m:t>
                  </m:r>
                </m:e>
                <m:sub>
                  <m:r>
                    <m:t>0</m:t>
                  </m:r>
                </m:sub>
              </m:sSub>
              <m:r>
                <m:rPr>
                  <m:sty m:val="p"/>
                </m:rPr>
                <m:t>+</m:t>
              </m:r>
              <m:sSub>
                <m:e>
                  <m:r>
                    <m:t>C</m:t>
                  </m:r>
                </m:e>
                <m:sub>
                  <m:r>
                    <m:t>1</m:t>
                  </m:r>
                </m:sub>
              </m:sSub>
            </m:e>
          </m:d>
          <m:r>
            <m:rPr>
              <m:sty m:val="p"/>
            </m:rPr>
            <m:t>−</m:t>
          </m:r>
          <m:f>
            <m:fPr>
              <m:type m:val="lin"/>
            </m:fPr>
            <m:num>
              <m:r>
                <m:t>1</m:t>
              </m:r>
            </m:num>
            <m:den>
              <m:r>
                <m:t>2</m:t>
              </m:r>
            </m:den>
          </m:f>
          <m:d>
            <m:dPr>
              <m:begChr m:val="("/>
              <m:endChr m:val=")"/>
              <m:sepChr m:val=""/>
              <m:grow/>
            </m:dPr>
            <m:e>
              <m:sSub>
                <m:e>
                  <m:r>
                    <m:t>E</m:t>
                  </m:r>
                </m:e>
                <m:sub>
                  <m:r>
                    <m:t>0</m:t>
                  </m:r>
                </m:sub>
              </m:sSub>
              <m:r>
                <m:rPr>
                  <m:sty m:val="p"/>
                </m:rPr>
                <m:t>+</m:t>
              </m:r>
              <m:sSub>
                <m:e>
                  <m:r>
                    <m:t>E</m:t>
                  </m:r>
                </m:e>
                <m:sub>
                  <m:r>
                    <m:t>1</m:t>
                  </m:r>
                </m:sub>
              </m:sSub>
            </m:e>
          </m:d>
          <m:r>
            <m:rPr>
              <m:sty m:val="p"/>
            </m:rPr>
            <m:t>.</m:t>
          </m:r>
        </m:oMath>
      </m:oMathPara>
    </w:p>
    <w:p>
      <w:pPr>
        <w:pStyle w:val="FirstParagraph"/>
      </w:pPr>
      <w:r>
        <w:t xml:space="preserve">The two contributions were averaged over five sessions within each participant before cohort inference. They exactly reconstruct the saved BA difference. The 73.7 % spatial-component share is the descriptive ratio of cohort-average full-minus-LDA-only to full-minus-frozen. It decomposes the observed pipeline contrasts.</w:t>
      </w:r>
    </w:p>
    <w:p>
      <w:pPr>
        <w:pStyle w:val="BodyText"/>
      </w:pPr>
      <w:r>
        <w:t xml:space="preserve">Original primary-cohort mean full-minus-LDA-only was 5.47 pp, with corrected-error and introduced-error contributions 16.04 pp and 10.57 pp. Left/right recall changes were 6.16 pp and 4.78 pp, with both individual intervals including zero. The same component contrast was positive in 10/12 participant averages and all five session means; participant-deletion means ranged 4.39–6.28 pp. Session profiles and participant-deletion summaries locate the component gain within the longitudinal data.</w:t>
      </w:r>
    </w:p>
    <w:p>
      <w:pPr>
        <w:pStyle w:val="BodyText"/>
      </w:pPr>
      <w:r>
        <w:t xml:space="preserve">The pre-existing amplitude flag was 250 µV maximum raw channel peak-to-peak. It flagged 1,512/7,156 complete windows. Saved-prediction/QC matching used trial identity, role, true label and inclusion status. The unflagged target endpoint required both classes in every session; only ten original primary participants met that criterion. Their unflagged full-minus-frozen gain was 5.96 pp [0.99, 11.24] and component gain 3.82 pp [1.11, 6.72]. Their corresponding full-query gains were 6.50 pp and 4.53 pp. Source and support data were retained during this amplitude-conditional query restriction; the flag identifies a signal-amplitude property rather than a complete artifact assessment.</w:t>
      </w:r>
    </w:p>
    <w:p>
      <w:pPr>
        <w:pStyle w:val="BodyText"/>
      </w:pPr>
      <w:r>
        <w:t xml:space="preserve">The original post-hoc exact sign-flip tests enumerated all</w:t>
      </w:r>
      <w:r>
        <w:t xml:space="preserve"> </w:t>
      </w:r>
      <m:oMath>
        <m:sSup>
          <m:e>
            <m:r>
              <m:t>2</m:t>
            </m:r>
          </m:e>
          <m:sup>
            <m:r>
              <m:t>n</m:t>
            </m:r>
          </m:sup>
        </m:sSup>
      </m:oMath>
      <w:r>
        <w:t xml:space="preserve"> </w:t>
      </w:r>
      <w:r>
        <w:t xml:space="preserve">sign assignments of the participant differences, retaining their magnitudes. The statistic was the absolute mean paired difference, with an inclusive boundary tolerance of</w:t>
      </w:r>
      <w:r>
        <w:t xml:space="preserve"> </w:t>
      </w:r>
      <m:oMath>
        <m:sSup>
          <m:e>
            <m:r>
              <m:t>10</m:t>
            </m:r>
          </m:e>
          <m:sup>
            <m:r>
              <m:rPr>
                <m:sty m:val="p"/>
              </m:rPr>
              <m:t>−</m:t>
            </m:r>
            <m:r>
              <m:t>12</m:t>
            </m:r>
          </m:sup>
        </m:sSup>
      </m:oMath>
      <w:r>
        <w:t xml:space="preserve"> </w:t>
      </w:r>
      <w:r>
        <w:t xml:space="preserve">in BA units. The four-test family comprised full-minus-frozen, full-minus-LDA-only and LDA-only-minus-frozen in the 12-person primary cohort, and full-minus-frozen in the ten-person eligible unflagged subset. Unadjusted p values were 0.01953125, 0.01025390625, 0.26123046875 and 0.076171875; Holm-adjusted values were 0.05859375, 0.041015625, 0.26123046875 and 0.15234375, respectively. These tests use a sign-symmetric null conditional on the observed magnitudes. The original percentile-bootstrap intervals are pointwise and unadjusted for this family.</w:t>
      </w:r>
    </w:p>
    <w:bookmarkEnd w:id="23"/>
    <w:bookmarkStart w:id="27" w:name="s-4.-geometric-estimator"/>
    <w:p>
      <w:pPr>
        <w:pStyle w:val="Heading2"/>
      </w:pPr>
      <w:r>
        <w:rPr>
          <w:color w:val="000000"/>
        </w:rPr>
        <w:t xml:space="preserve">S 4. Geometric estimator</w:t>
      </w:r>
    </w:p>
    <w:bookmarkStart w:id="24" w:name="source-fixed-feature-space"/>
    <w:p>
      <w:pPr>
        <w:pStyle w:val="Heading3"/>
      </w:pPr>
      <w:r>
        <w:rPr>
          <w:color w:val="000000"/>
        </w:rPr>
        <w:t xml:space="preserve">Source-fixed feature space</w:t>
      </w:r>
    </w:p>
    <w:p>
      <w:pPr>
        <w:pStyle w:val="FirstParagraph"/>
      </w:pPr>
      <w:r>
        <w:t xml:space="preserve">Each trial covariance was trace-normalized and regularized using shrinkage 0.1. Let R_s be the source-training-only reference covariance and</w:t>
      </w:r>
    </w:p>
    <w:p>
      <w:pPr>
        <w:pStyle w:val="BodyText"/>
      </w:pPr>
      <m:oMathPara>
        <m:oMathParaPr>
          <m:jc m:val="center"/>
        </m:oMathParaPr>
        <m:oMath>
          <m:r>
            <m:t>z</m:t>
          </m:r>
          <m:r>
            <m:rPr>
              <m:sty m:val="p"/>
            </m:rPr>
            <m:t>=</m:t>
          </m:r>
          <m:sSub>
            <m:e>
              <m:r>
                <m:rPr>
                  <m:sty m:val="p"/>
                </m:rPr>
                <m:t>vech</m:t>
              </m:r>
            </m:e>
            <m:sub>
              <m:rad>
                <m:radPr>
                  <m:degHide m:val="on"/>
                </m:radPr>
                <m:deg/>
                <m:e>
                  <m:r>
                    <m:t>2</m:t>
                  </m:r>
                </m:e>
              </m:rad>
            </m:sub>
          </m:sSub>
          <m:r>
            <m:rPr>
              <m:sty m:val="p"/>
            </m:rPr>
            <m:t>{</m:t>
          </m:r>
          <m:r>
            <m:rPr>
              <m:sty m:val="p"/>
            </m:rPr>
            <m:t>log</m:t>
          </m:r>
          <m:d>
            <m:dPr>
              <m:begChr m:val="("/>
              <m:endChr m:val=")"/>
              <m:sepChr m:val=""/>
              <m:grow/>
            </m:dPr>
            <m:e>
              <m:sSubSup>
                <m:e>
                  <m:r>
                    <m:t>R</m:t>
                  </m:r>
                </m:e>
                <m:sub>
                  <m:r>
                    <m:t>s</m:t>
                  </m:r>
                </m:sub>
                <m:sup>
                  <m:r>
                    <m:rPr>
                      <m:sty m:val="p"/>
                    </m:rPr>
                    <m:t>−</m:t>
                  </m:r>
                  <m:r>
                    <m:t>1</m:t>
                  </m:r>
                  <m:r>
                    <m:rPr>
                      <m:sty m:val="p"/>
                    </m:rPr>
                    <m:t>/</m:t>
                  </m:r>
                  <m:r>
                    <m:t>2</m:t>
                  </m:r>
                </m:sup>
              </m:sSubSup>
              <m:r>
                <m:t>C</m:t>
              </m:r>
              <m:sSubSup>
                <m:e>
                  <m:r>
                    <m:t>R</m:t>
                  </m:r>
                </m:e>
                <m:sub>
                  <m:r>
                    <m:t>s</m:t>
                  </m:r>
                </m:sub>
                <m:sup>
                  <m:r>
                    <m:rPr>
                      <m:sty m:val="p"/>
                    </m:rPr>
                    <m:t>−</m:t>
                  </m:r>
                  <m:r>
                    <m:t>1</m:t>
                  </m:r>
                  <m:r>
                    <m:rPr>
                      <m:sty m:val="p"/>
                    </m:rPr>
                    <m:t>/</m:t>
                  </m:r>
                  <m:r>
                    <m:t>2</m:t>
                  </m:r>
                </m:sup>
              </m:sSubSup>
            </m:e>
          </m:d>
          <m:r>
            <m:rPr>
              <m:sty m:val="p"/>
            </m:rPr>
            <m:t>}</m:t>
          </m:r>
          <m:r>
            <m:rPr>
              <m:sty m:val="p"/>
            </m:rPr>
            <m:t>.</m:t>
          </m:r>
        </m:oMath>
      </m:oMathPara>
    </w:p>
    <w:p>
      <w:pPr>
        <w:pStyle w:val="FirstParagraph"/>
      </w:pPr>
      <w:r>
        <w:t xml:space="preserve">The symmetric-vector operator multiplies off-diagonal elements by √2 to preserve the Frobenius inner product. With 22 channels, p=253. The reference remains fixed for every current-session budget and all queries. Trace normalization and identity shrinkage do not confer strict invariance to arbitrary affine sensor transformations.</w:t>
      </w:r>
    </w:p>
    <w:p>
      <w:pPr>
        <w:pStyle w:val="BodyText"/>
      </w:pPr>
      <w:r>
        <w:t xml:space="preserve">For a domain d, define class means</w:t>
      </w:r>
      <w:r>
        <w:t xml:space="preserve"> </w:t>
      </w:r>
      <m:oMath>
        <m:sSub>
          <m:e>
            <m:r>
              <m:t>μ</m:t>
            </m:r>
          </m:e>
          <m:sub>
            <m:r>
              <m:t>d</m:t>
            </m:r>
            <m:r>
              <m:t>0</m:t>
            </m:r>
          </m:sub>
        </m:sSub>
      </m:oMath>
      <w:r>
        <w:t xml:space="preserve">,</w:t>
      </w:r>
      <w:r>
        <w:t xml:space="preserve"> </w:t>
      </w:r>
      <m:oMath>
        <m:sSub>
          <m:e>
            <m:r>
              <m:t>μ</m:t>
            </m:r>
          </m:e>
          <m:sub>
            <m:r>
              <m:t>d</m:t>
            </m:r>
            <m:r>
              <m:t>1</m:t>
            </m:r>
          </m:sub>
        </m:sSub>
      </m:oMath>
      <w:r>
        <w:t xml:space="preserve"> </w:t>
      </w:r>
      <w:r>
        <w:t xml:space="preserve">and</w:t>
      </w:r>
    </w:p>
    <w:p>
      <w:pPr>
        <w:pStyle w:val="BodyText"/>
      </w:pPr>
      <m:oMathPara>
        <m:oMathParaPr>
          <m:jc m:val="center"/>
        </m:oMathParaPr>
        <m:oMath>
          <m:sSub>
            <m:e>
              <m:r>
                <m:t>m</m:t>
              </m:r>
            </m:e>
            <m:sub>
              <m:r>
                <m:t>d</m:t>
              </m:r>
            </m:sub>
          </m:sSub>
          <m:r>
            <m:rPr>
              <m:sty m:val="p"/>
            </m:rPr>
            <m:t>=</m:t>
          </m:r>
          <m:d>
            <m:dPr>
              <m:begChr m:val="("/>
              <m:endChr m:val=")"/>
              <m:sepChr m:val=""/>
              <m:grow/>
            </m:dPr>
            <m:e>
              <m:sSub>
                <m:e>
                  <m:r>
                    <m:t>μ</m:t>
                  </m:r>
                </m:e>
                <m:sub>
                  <m:r>
                    <m:t>d</m:t>
                  </m:r>
                  <m:r>
                    <m:t>0</m:t>
                  </m:r>
                </m:sub>
              </m:sSub>
              <m:r>
                <m:rPr>
                  <m:sty m:val="p"/>
                </m:rPr>
                <m:t>+</m:t>
              </m:r>
              <m:sSub>
                <m:e>
                  <m:r>
                    <m:t>μ</m:t>
                  </m:r>
                </m:e>
                <m:sub>
                  <m:r>
                    <m:t>d</m:t>
                  </m:r>
                  <m:r>
                    <m:t>1</m:t>
                  </m:r>
                </m:sub>
              </m:sSub>
            </m:e>
          </m:d>
          <m:r>
            <m:rPr>
              <m:sty m:val="p"/>
            </m:rPr>
            <m:t>/</m:t>
          </m:r>
          <m:r>
            <m:t>2</m:t>
          </m:r>
          <m:r>
            <m:rPr>
              <m:sty m:val="p"/>
            </m:rPr>
            <m:t>,</m:t>
          </m:r>
          <m:r>
            <m:t>  </m:t>
          </m:r>
          <m:sSub>
            <m:e>
              <m:r>
                <m:t>h</m:t>
              </m:r>
            </m:e>
            <m:sub>
              <m:r>
                <m:t>d</m:t>
              </m:r>
            </m:sub>
          </m:sSub>
          <m:r>
            <m:rPr>
              <m:sty m:val="p"/>
            </m:rPr>
            <m:t>=</m:t>
          </m:r>
          <m:d>
            <m:dPr>
              <m:begChr m:val="("/>
              <m:endChr m:val=")"/>
              <m:sepChr m:val=""/>
              <m:grow/>
            </m:dPr>
            <m:e>
              <m:sSub>
                <m:e>
                  <m:r>
                    <m:t>μ</m:t>
                  </m:r>
                </m:e>
                <m:sub>
                  <m:r>
                    <m:t>d</m:t>
                  </m:r>
                  <m:r>
                    <m:t>1</m:t>
                  </m:r>
                </m:sub>
              </m:sSub>
              <m:r>
                <m:rPr>
                  <m:sty m:val="p"/>
                </m:rPr>
                <m:t>−</m:t>
              </m:r>
              <m:sSub>
                <m:e>
                  <m:r>
                    <m:t>μ</m:t>
                  </m:r>
                </m:e>
                <m:sub>
                  <m:r>
                    <m:t>d</m:t>
                  </m:r>
                  <m:r>
                    <m:t>0</m:t>
                  </m:r>
                </m:sub>
              </m:sSub>
            </m:e>
          </m:d>
          <m:r>
            <m:rPr>
              <m:sty m:val="p"/>
            </m:rPr>
            <m:t>/</m:t>
          </m:r>
          <m:r>
            <m:t>2</m:t>
          </m:r>
          <m:r>
            <m:rPr>
              <m:sty m:val="p"/>
            </m:rPr>
            <m:t>,</m:t>
          </m:r>
          <m:r>
            <m:t>  </m:t>
          </m:r>
          <m:sSub>
            <m:e>
              <m:r>
                <m:t>θ</m:t>
              </m:r>
            </m:e>
            <m:sub>
              <m:r>
                <m:t>d</m:t>
              </m:r>
            </m:sub>
          </m:sSub>
          <m:r>
            <m:rPr>
              <m:sty m:val="p"/>
            </m:rPr>
            <m:t>=</m:t>
          </m:r>
          <m:d>
            <m:dPr>
              <m:begChr m:val="["/>
              <m:endChr m:val="]"/>
              <m:sepChr m:val=""/>
              <m:grow/>
            </m:dPr>
            <m:e>
              <m:sSub>
                <m:e>
                  <m:r>
                    <m:t>m</m:t>
                  </m:r>
                </m:e>
                <m:sub>
                  <m:r>
                    <m:t>d</m:t>
                  </m:r>
                </m:sub>
              </m:sSub>
              <m:r>
                <m:rPr>
                  <m:sty m:val="p"/>
                </m:rPr>
                <m:t>;</m:t>
              </m:r>
              <m:sSub>
                <m:e>
                  <m:r>
                    <m:t>h</m:t>
                  </m:r>
                </m:e>
                <m:sub>
                  <m:r>
                    <m:t>d</m:t>
                  </m:r>
                </m:sub>
              </m:sSub>
            </m:e>
          </m:d>
          <m:r>
            <m:rPr>
              <m:sty m:val="p"/>
            </m:rPr>
            <m:t>.</m:t>
          </m:r>
        </m:oMath>
      </m:oMathPara>
    </w:p>
    <w:p>
      <w:pPr>
        <w:pStyle w:val="FirstParagraph"/>
      </w:pPr>
      <w:r>
        <w:t xml:space="preserve">Class feature covariance estimates B_dc use fixed 0.1 shrinkage. With U_dc=B_dc/n_dc, the estimated mean-observation covariance is</w:t>
      </w:r>
    </w:p>
    <w:p>
      <w:pPr>
        <w:pStyle w:val="BodyText"/>
      </w:pPr>
      <m:oMathPara>
        <m:oMathParaPr>
          <m:jc m:val="center"/>
        </m:oMathParaPr>
        <m:oMath>
          <m:sSub>
            <m:e>
              <m:r>
                <m:t>V</m:t>
              </m:r>
            </m:e>
            <m:sub>
              <m:r>
                <m:t>d</m:t>
              </m:r>
            </m:sub>
          </m:sSub>
          <m:r>
            <m:rPr>
              <m:sty m:val="p"/>
            </m:rPr>
            <m:t>=</m:t>
          </m:r>
          <m:f>
            <m:fPr>
              <m:type m:val="bar"/>
            </m:fPr>
            <m:num>
              <m:r>
                <m:t>1</m:t>
              </m:r>
            </m:num>
            <m:den>
              <m:r>
                <m:t>4</m:t>
              </m:r>
            </m:den>
          </m:f>
          <m:d>
            <m:dPr>
              <m:begChr m:val="["/>
              <m:endChr m:val="]"/>
              <m:sepChr m:val=""/>
              <m:grow/>
            </m:dPr>
            <m:e>
              <m:m>
                <m:mPr>
                  <m:baseJc m:val="center"/>
                  <m:plcHide m:val="on"/>
                  <m:mcs>
                    <m:mc>
                      <m:mcPr>
                        <m:mcJc m:val="center"/>
                        <m:count m:val="1"/>
                      </m:mcPr>
                    </m:mc>
                    <m:mc>
                      <m:mcPr>
                        <m:mcJc m:val="center"/>
                        <m:count m:val="1"/>
                      </m:mcPr>
                    </m:mc>
                  </m:mcs>
                </m:mPr>
                <m:mr>
                  <m:e>
                    <m:sSub>
                      <m:e>
                        <m:r>
                          <m:t>U</m:t>
                        </m:r>
                      </m:e>
                      <m:sub>
                        <m:r>
                          <m:t>d</m:t>
                        </m:r>
                        <m:r>
                          <m:t>0</m:t>
                        </m:r>
                      </m:sub>
                    </m:sSub>
                    <m:r>
                      <m:rPr>
                        <m:sty m:val="p"/>
                      </m:rPr>
                      <m:t>+</m:t>
                    </m:r>
                    <m:sSub>
                      <m:e>
                        <m:r>
                          <m:t>U</m:t>
                        </m:r>
                      </m:e>
                      <m:sub>
                        <m:r>
                          <m:t>d</m:t>
                        </m:r>
                        <m:r>
                          <m:t>1</m:t>
                        </m:r>
                      </m:sub>
                    </m:sSub>
                  </m:e>
                  <m:e>
                    <m:sSub>
                      <m:e>
                        <m:r>
                          <m:t>U</m:t>
                        </m:r>
                      </m:e>
                      <m:sub>
                        <m:r>
                          <m:t>d</m:t>
                        </m:r>
                        <m:r>
                          <m:t>1</m:t>
                        </m:r>
                      </m:sub>
                    </m:sSub>
                    <m:r>
                      <m:rPr>
                        <m:sty m:val="p"/>
                      </m:rPr>
                      <m:t>−</m:t>
                    </m:r>
                    <m:sSub>
                      <m:e>
                        <m:r>
                          <m:t>U</m:t>
                        </m:r>
                      </m:e>
                      <m:sub>
                        <m:r>
                          <m:t>d</m:t>
                        </m:r>
                        <m:r>
                          <m:t>0</m:t>
                        </m:r>
                      </m:sub>
                    </m:sSub>
                  </m:e>
                </m:mr>
                <m:mr>
                  <m:e>
                    <m:sSub>
                      <m:e>
                        <m:r>
                          <m:t>U</m:t>
                        </m:r>
                      </m:e>
                      <m:sub>
                        <m:r>
                          <m:t>d</m:t>
                        </m:r>
                        <m:r>
                          <m:t>1</m:t>
                        </m:r>
                      </m:sub>
                    </m:sSub>
                    <m:r>
                      <m:rPr>
                        <m:sty m:val="p"/>
                      </m:rPr>
                      <m:t>−</m:t>
                    </m:r>
                    <m:sSub>
                      <m:e>
                        <m:r>
                          <m:t>U</m:t>
                        </m:r>
                      </m:e>
                      <m:sub>
                        <m:r>
                          <m:t>d</m:t>
                        </m:r>
                        <m:r>
                          <m:t>0</m:t>
                        </m:r>
                      </m:sub>
                    </m:sSub>
                  </m:e>
                  <m:e>
                    <m:sSub>
                      <m:e>
                        <m:r>
                          <m:t>U</m:t>
                        </m:r>
                      </m:e>
                      <m:sub>
                        <m:r>
                          <m:t>d</m:t>
                        </m:r>
                        <m:r>
                          <m:t>0</m:t>
                        </m:r>
                      </m:sub>
                    </m:sSub>
                    <m:r>
                      <m:rPr>
                        <m:sty m:val="p"/>
                      </m:rPr>
                      <m:t>+</m:t>
                    </m:r>
                    <m:sSub>
                      <m:e>
                        <m:r>
                          <m:t>U</m:t>
                        </m:r>
                      </m:e>
                      <m:sub>
                        <m:r>
                          <m:t>d</m:t>
                        </m:r>
                        <m:r>
                          <m:t>1</m:t>
                        </m:r>
                      </m:sub>
                    </m:sSub>
                  </m:e>
                </m:mr>
              </m:m>
            </m:e>
          </m:d>
          <m:r>
            <m:rPr>
              <m:sty m:val="p"/>
            </m:rPr>
            <m:t>.</m:t>
          </m:r>
        </m:oMath>
      </m:oMathPara>
    </w:p>
    <w:p>
      <w:pPr>
        <w:pStyle w:val="FirstParagraph"/>
      </w:pPr>
      <w:r>
        <w:t xml:space="preserve">Separate shift-variation scales are</w:t>
      </w:r>
    </w:p>
    <w:p>
      <w:pPr>
        <w:pStyle w:val="BodyText"/>
      </w:pPr>
      <m:oMathPara>
        <m:oMathParaPr>
          <m:jc m:val="center"/>
        </m:oMathParaPr>
        <m:oMath>
          <m:sSubSup>
            <m:e>
              <m:r>
                <m:t>τ</m:t>
              </m:r>
            </m:e>
            <m:sub>
              <m:r>
                <m:t>j</m:t>
              </m:r>
            </m:sub>
            <m:sup>
              <m:r>
                <m:t>2</m:t>
              </m:r>
            </m:sup>
          </m:sSubSup>
          <m:r>
            <m:rPr>
              <m:sty m:val="p"/>
            </m:rPr>
            <m:t>=</m:t>
          </m:r>
          <m:r>
            <m:rPr>
              <m:sty m:val="p"/>
            </m:rPr>
            <m:t>max</m:t>
          </m:r>
          <m:r>
            <m:rPr>
              <m:sty m:val="p"/>
            </m:rPr>
            <m:t>{</m:t>
          </m:r>
          <m:d>
            <m:dPr>
              <m:begChr m:val="("/>
              <m:endChr m:val=")"/>
              <m:sepChr m:val=""/>
              <m:grow/>
            </m:dPr>
            <m:e>
              <m:r>
                <m:rPr>
                  <m:sty m:val="p"/>
                </m:rPr>
                <m:t>∥</m:t>
              </m:r>
              <m:sSub>
                <m:e>
                  <m:r>
                    <m:t>θ</m:t>
                  </m:r>
                </m:e>
                <m:sub>
                  <m:r>
                    <m:t>t</m:t>
                  </m:r>
                  <m:r>
                    <m:t>j</m:t>
                  </m:r>
                </m:sub>
              </m:sSub>
              <m:r>
                <m:rPr>
                  <m:sty m:val="p"/>
                </m:rPr>
                <m:t>−</m:t>
              </m:r>
              <m:sSub>
                <m:e>
                  <m:r>
                    <m:t>θ</m:t>
                  </m:r>
                </m:e>
                <m:sub>
                  <m:r>
                    <m:t>s</m:t>
                  </m:r>
                  <m:r>
                    <m:t>j</m:t>
                  </m:r>
                </m:sub>
              </m:sSub>
              <m:sSup>
                <m:e>
                  <m:r>
                    <m:rPr>
                      <m:sty m:val="p"/>
                    </m:rPr>
                    <m:t>∥</m:t>
                  </m:r>
                </m:e>
                <m:sup>
                  <m:r>
                    <m:t>2</m:t>
                  </m:r>
                </m:sup>
              </m:sSup>
              <m:r>
                <m:rPr>
                  <m:sty m:val="p"/>
                </m:rPr>
                <m:t>−</m:t>
              </m:r>
              <m:r>
                <m:rPr>
                  <m:sty m:val="p"/>
                </m:rPr>
                <m:t>tr</m:t>
              </m:r>
              <m:d>
                <m:dPr>
                  <m:begChr m:val="("/>
                  <m:endChr m:val=")"/>
                  <m:sepChr m:val=""/>
                  <m:grow/>
                </m:dPr>
                <m:e>
                  <m:sSub>
                    <m:e>
                      <m:r>
                        <m:t>V</m:t>
                      </m:r>
                    </m:e>
                    <m:sub>
                      <m:r>
                        <m:t>s</m:t>
                      </m:r>
                      <m:r>
                        <m:rPr>
                          <m:sty m:val="p"/>
                        </m:rPr>
                        <m:t>,</m:t>
                      </m:r>
                      <m:r>
                        <m:t>j</m:t>
                      </m:r>
                      <m:r>
                        <m:t>j</m:t>
                      </m:r>
                    </m:sub>
                  </m:sSub>
                  <m:r>
                    <m:rPr>
                      <m:sty m:val="p"/>
                    </m:rPr>
                    <m:t>+</m:t>
                  </m:r>
                  <m:sSub>
                    <m:e>
                      <m:r>
                        <m:t>V</m:t>
                      </m:r>
                    </m:e>
                    <m:sub>
                      <m:r>
                        <m:t>t</m:t>
                      </m:r>
                      <m:r>
                        <m:rPr>
                          <m:sty m:val="p"/>
                        </m:rPr>
                        <m:t>,</m:t>
                      </m:r>
                      <m:r>
                        <m:t>j</m:t>
                      </m:r>
                      <m:r>
                        <m:t>j</m:t>
                      </m:r>
                    </m:sub>
                  </m:sSub>
                </m:e>
              </m:d>
            </m:e>
          </m:d>
          <m:r>
            <m:rPr>
              <m:sty m:val="p"/>
            </m:rPr>
            <m:t>/</m:t>
          </m:r>
          <m:r>
            <m:t>p</m:t>
          </m:r>
          <m:r>
            <m:rPr>
              <m:sty m:val="p"/>
            </m:rPr>
            <m:t>,</m:t>
          </m:r>
          <m:r>
            <m:t>0</m:t>
          </m:r>
          <m:r>
            <m:rPr>
              <m:sty m:val="p"/>
            </m:rPr>
            <m:t>}</m:t>
          </m:r>
          <m:r>
            <m:rPr>
              <m:sty m:val="p"/>
            </m:rPr>
            <m:t>,</m:t>
          </m:r>
          <m:r>
            <m:t> </m:t>
          </m:r>
          <m:r>
            <m:t>j</m:t>
          </m:r>
          <m:r>
            <m:rPr>
              <m:sty m:val="p"/>
            </m:rPr>
            <m:t>∈</m:t>
          </m:r>
          <m:r>
            <m:rPr>
              <m:sty m:val="p"/>
            </m:rPr>
            <m:t>{</m:t>
          </m:r>
          <m:r>
            <m:t>m</m:t>
          </m:r>
          <m:r>
            <m:rPr>
              <m:sty m:val="p"/>
            </m:rPr>
            <m:t>,</m:t>
          </m:r>
          <m:r>
            <m:t>h</m:t>
          </m:r>
          <m:r>
            <m:rPr>
              <m:sty m:val="p"/>
            </m:rPr>
            <m:t>}</m:t>
          </m:r>
          <m:r>
            <m:rPr>
              <m:sty m:val="p"/>
            </m:rPr>
            <m:t>.</m:t>
          </m:r>
        </m:oMath>
      </m:oMathPara>
    </w:p>
    <w:p>
      <w:pPr>
        <w:pStyle w:val="FirstParagraph"/>
      </w:pPr>
      <w:r>
        <w:t xml:space="preserve">Let T=diag(τ_m²I,τ_h²I), M=V_s+T. With both classes observed,</w:t>
      </w:r>
    </w:p>
    <w:p>
      <w:pPr>
        <w:pStyle w:val="BodyText"/>
      </w:pPr>
      <m:oMathPara>
        <m:oMathParaPr>
          <m:jc m:val="center"/>
        </m:oMathParaPr>
        <m:oMath>
          <m:acc>
            <m:accPr>
              <m:chr m:val="̂"/>
            </m:accPr>
            <m:e>
              <m:r>
                <m:t>θ</m:t>
              </m:r>
            </m:e>
          </m:acc>
          <m:r>
            <m:rPr>
              <m:sty m:val="p"/>
            </m:rPr>
            <m:t>=</m:t>
          </m:r>
          <m:sSub>
            <m:e>
              <m:r>
                <m:t>θ</m:t>
              </m:r>
            </m:e>
            <m:sub>
              <m:r>
                <m:t>s</m:t>
              </m:r>
            </m:sub>
          </m:sSub>
          <m:r>
            <m:rPr>
              <m:sty m:val="p"/>
            </m:rPr>
            <m:t>+</m:t>
          </m:r>
          <m:r>
            <m:t>M</m:t>
          </m:r>
          <m:sSup>
            <m:e>
              <m:d>
                <m:dPr>
                  <m:begChr m:val="("/>
                  <m:endChr m:val=")"/>
                  <m:sepChr m:val=""/>
                  <m:grow/>
                </m:dPr>
                <m:e>
                  <m:r>
                    <m:t>M</m:t>
                  </m:r>
                  <m:r>
                    <m:rPr>
                      <m:sty m:val="p"/>
                    </m:rPr>
                    <m:t>+</m:t>
                  </m:r>
                  <m:sSub>
                    <m:e>
                      <m:r>
                        <m:t>V</m:t>
                      </m:r>
                    </m:e>
                    <m:sub>
                      <m:r>
                        <m:t>t</m:t>
                      </m:r>
                    </m:sub>
                  </m:sSub>
                </m:e>
              </m:d>
            </m:e>
            <m:sup>
              <m:r>
                <m:rPr>
                  <m:sty m:val="p"/>
                </m:rPr>
                <m:t>−</m:t>
              </m:r>
              <m:r>
                <m:t>1</m:t>
              </m:r>
            </m:sup>
          </m:sSup>
          <m:d>
            <m:dPr>
              <m:begChr m:val="("/>
              <m:endChr m:val=")"/>
              <m:sepChr m:val=""/>
              <m:grow/>
            </m:dPr>
            <m:e>
              <m:sSub>
                <m:e>
                  <m:r>
                    <m:t>θ</m:t>
                  </m:r>
                </m:e>
                <m:sub>
                  <m:r>
                    <m:t>t</m:t>
                  </m:r>
                </m:sub>
              </m:sSub>
              <m:r>
                <m:rPr>
                  <m:sty m:val="p"/>
                </m:rPr>
                <m:t>−</m:t>
              </m:r>
              <m:sSub>
                <m:e>
                  <m:r>
                    <m:t>θ</m:t>
                  </m:r>
                </m:e>
                <m:sub>
                  <m:r>
                    <m:t>s</m:t>
                  </m:r>
                </m:sub>
              </m:sSub>
            </m:e>
          </m:d>
          <m:r>
            <m:rPr>
              <m:sty m:val="p"/>
            </m:rPr>
            <m:t>,</m:t>
          </m:r>
          <m:r>
            <m:t>  </m:t>
          </m:r>
          <m:r>
            <m:t>P</m:t>
          </m:r>
          <m:r>
            <m:rPr>
              <m:sty m:val="p"/>
            </m:rPr>
            <m:t>=</m:t>
          </m:r>
          <m:r>
            <m:t>M</m:t>
          </m:r>
          <m:r>
            <m:rPr>
              <m:sty m:val="p"/>
            </m:rPr>
            <m:t>−</m:t>
          </m:r>
          <m:r>
            <m:t>M</m:t>
          </m:r>
          <m:sSup>
            <m:e>
              <m:d>
                <m:dPr>
                  <m:begChr m:val="("/>
                  <m:endChr m:val=")"/>
                  <m:sepChr m:val=""/>
                  <m:grow/>
                </m:dPr>
                <m:e>
                  <m:r>
                    <m:t>M</m:t>
                  </m:r>
                  <m:r>
                    <m:rPr>
                      <m:sty m:val="p"/>
                    </m:rPr>
                    <m:t>+</m:t>
                  </m:r>
                  <m:sSub>
                    <m:e>
                      <m:r>
                        <m:t>V</m:t>
                      </m:r>
                    </m:e>
                    <m:sub>
                      <m:r>
                        <m:t>t</m:t>
                      </m:r>
                    </m:sub>
                  </m:sSub>
                </m:e>
              </m:d>
            </m:e>
            <m:sup>
              <m:r>
                <m:rPr>
                  <m:sty m:val="p"/>
                </m:rPr>
                <m:t>−</m:t>
              </m:r>
              <m:r>
                <m:t>1</m:t>
              </m:r>
            </m:sup>
          </m:sSup>
          <m:r>
            <m:t>M</m:t>
          </m:r>
          <m:r>
            <m:rPr>
              <m:sty m:val="p"/>
            </m:rPr>
            <m:t>.</m:t>
          </m:r>
        </m:oMath>
      </m:oMathPara>
    </w:p>
    <w:p>
      <w:pPr>
        <w:pStyle w:val="FirstParagraph"/>
      </w:pPr>
      <w:r>
        <w:t xml:space="preserve">The implementation uses a masked linear-Gaussian update and the Joseph form for P. For a single observed class, the mask retains only that class’s observations, unidentifiable shift variation is set to zero, and the unobserved class retains its source mean. A class represented by one support trial uses the fixed source class covariance as its variance proxy. The numerical floor is</w:t>
      </w:r>
      <w:r>
        <w:t xml:space="preserve"> </w:t>
      </w:r>
      <m:oMath>
        <m:sSup>
          <m:e>
            <m:r>
              <m:t>10</m:t>
            </m:r>
          </m:e>
          <m:sup>
            <m:r>
              <m:rPr>
                <m:sty m:val="p"/>
              </m:rPr>
              <m:t>−</m:t>
            </m:r>
            <m:r>
              <m:t>8</m:t>
            </m:r>
          </m:sup>
        </m:sSup>
      </m:oMath>
      <w:r>
        <w:t xml:space="preserve">.</w:t>
      </w:r>
    </w:p>
    <w:bookmarkEnd w:id="24"/>
    <w:bookmarkStart w:id="25" w:name="conditional-result-and-prediction"/>
    <w:p>
      <w:pPr>
        <w:pStyle w:val="Heading3"/>
      </w:pPr>
      <w:r>
        <w:rPr>
          <w:color w:val="000000"/>
        </w:rPr>
        <w:t xml:space="preserve">Conditional result and prediction</w:t>
      </w:r>
    </w:p>
    <w:p>
      <w:pPr>
        <w:pStyle w:val="FirstParagraph"/>
      </w:pPr>
      <w:r>
        <w:t xml:space="preserve">Under the specified Gaussian observation/prior model with known fixed noise matrices, completing the square gives the posterior above. For any estimate a, posterior expected squared error is tr(P)+‖a−θ̂‖²; the posterior mean minimizes that conditional risk. Plug-in covariance estimation, uncertainty in R_s, and uncertainty in source within-class covariance are outside that statement. The implementation propagates conditional class-mean uncertainty, not all representation uncertainty.</w:t>
      </w:r>
    </w:p>
    <w:p>
      <w:pPr>
        <w:pStyle w:val="BodyText"/>
      </w:pPr>
      <w:r>
        <w:t xml:space="preserve">For class 0/1, let A_c=[I,−I] or [I, I]. The full candidate scores a Gaussian with mean A_cθ̂ and covariance Q_c=W+A_cPA_cᵀ, using equal class priors and fixed source within-class covariance W. Point prediction uses the same θ̂ and W without P. B/n assumes independent observations; serial-correlation simulations explicitly test violation of that approximation. The risk identity concerns class-mean squared error under the stated Gaussian model; classification accuracy and target BA are evaluated empirically.</w:t>
      </w:r>
    </w:p>
    <w:bookmarkEnd w:id="25"/>
    <w:bookmarkStart w:id="26" w:name="complete-arm-definitions"/>
    <w:p>
      <w:pPr>
        <w:pStyle w:val="Heading3"/>
      </w:pPr>
      <w:r>
        <w:rPr>
          <w:color w:val="000000"/>
        </w:rPr>
        <w:t xml:space="preserve">Complete arm definitions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spacing w:after="80"/>
              <w:jc w:val="left"/>
            </w:pPr>
            <w:r>
              <w:rPr>
                <w:b/>
                <w:sz w:val="18"/>
              </w:rPr>
              <w:t xml:space="preserve">Saved method ID</w:t>
            </w:r>
          </w:p>
        </w:tc>
        <w:tc>
          <w:tcPr/>
          <w:p>
            <w:pPr>
              <w:pStyle w:val="Compact"/>
              <w:spacing w:after="80"/>
              <w:jc w:val="left"/>
            </w:pPr>
            <w:r>
              <w:rPr>
                <w:b/>
                <w:sz w:val="18"/>
              </w:rPr>
              <w:t xml:space="preserve">Defining difference</w:t>
            </w:r>
          </w:p>
        </w:tc>
      </w:tr>
      <w:tr>
        <w:tc>
          <w:tcPr/>
          <w:p>
            <w:pPr>
              <w:pStyle w:val="Compact"/>
              <w:spacing w:after="80"/>
              <w:jc w:val="left"/>
            </w:pPr>
            <w:r>
              <w:rPr>
                <w:sz w:val="18"/>
              </w:rPr>
              <w:t xml:space="preserve">source_tangent_frozen</w:t>
            </w:r>
          </w:p>
        </w:tc>
        <w:tc>
          <w:tcPr/>
          <w:p>
            <w:pPr>
              <w:pStyle w:val="Compact"/>
              <w:spacing w:after="80"/>
              <w:jc w:val="left"/>
            </w:pPr>
            <w:r>
              <w:rPr>
                <w:sz w:val="18"/>
              </w:rPr>
              <w:t xml:space="preserve">Source-fixed means and within-class covariance</w:t>
            </w:r>
          </w:p>
        </w:tc>
      </w:tr>
      <w:tr>
        <w:tc>
          <w:tcPr/>
          <w:p>
            <w:pPr>
              <w:pStyle w:val="Compact"/>
              <w:spacing w:after="80"/>
              <w:jc w:val="left"/>
            </w:pPr>
            <w:r>
              <w:rPr>
                <w:sz w:val="18"/>
              </w:rPr>
              <w:t xml:space="preserve">tangent_pooled</w:t>
            </w:r>
          </w:p>
        </w:tc>
        <w:tc>
          <w:tcPr/>
          <w:p>
            <w:pPr>
              <w:pStyle w:val="Compact"/>
              <w:spacing w:after="80"/>
              <w:jc w:val="left"/>
            </w:pPr>
            <w:r>
              <w:rPr>
                <w:sz w:val="18"/>
              </w:rPr>
              <w:t xml:space="preserve">Ordinary source/support pooled means; fixed source within-class covariance</w:t>
            </w:r>
          </w:p>
        </w:tc>
      </w:tr>
      <w:tr>
        <w:tc>
          <w:tcPr/>
          <w:p>
            <w:pPr>
              <w:pStyle w:val="Compact"/>
              <w:spacing w:after="80"/>
              <w:jc w:val="left"/>
            </w:pPr>
            <w:r>
              <w:rPr>
                <w:sz w:val="18"/>
              </w:rPr>
              <w:t xml:space="preserve">tangent_refit</w:t>
            </w:r>
          </w:p>
        </w:tc>
        <w:tc>
          <w:tcPr/>
          <w:p>
            <w:pPr>
              <w:pStyle w:val="Compact"/>
              <w:spacing w:after="80"/>
              <w:jc w:val="left"/>
            </w:pPr>
            <w:r>
              <w:rPr>
                <w:sz w:val="18"/>
              </w:rPr>
              <w:t xml:space="preserve">Ordinary source/support refitting of means and within-class covariance</w:t>
            </w:r>
          </w:p>
        </w:tc>
      </w:tr>
      <w:tr>
        <w:tc>
          <w:tcPr/>
          <w:p>
            <w:pPr>
              <w:pStyle w:val="Compact"/>
              <w:spacing w:after="80"/>
              <w:jc w:val="left"/>
            </w:pPr>
            <w:r>
              <w:rPr>
                <w:sz w:val="18"/>
              </w:rPr>
              <w:t xml:space="preserve">eb_point</w:t>
            </w:r>
          </w:p>
        </w:tc>
        <w:tc>
          <w:tcPr/>
          <w:p>
            <w:pPr>
              <w:pStyle w:val="Compact"/>
              <w:spacing w:after="80"/>
              <w:jc w:val="left"/>
            </w:pPr>
            <w:r>
              <w:rPr>
                <w:sz w:val="18"/>
              </w:rPr>
              <w:t xml:space="preserve">Candidate posterior means; prediction uses fixed W without P</w:t>
            </w:r>
          </w:p>
        </w:tc>
      </w:tr>
      <w:tr>
        <w:tc>
          <w:tcPr/>
          <w:p>
            <w:pPr>
              <w:pStyle w:val="Compact"/>
              <w:spacing w:after="80"/>
              <w:jc w:val="left"/>
            </w:pPr>
            <w:r>
              <w:rPr>
                <w:sz w:val="18"/>
              </w:rPr>
              <w:t xml:space="preserve">eb_predictive</w:t>
            </w:r>
          </w:p>
        </w:tc>
        <w:tc>
          <w:tcPr/>
          <w:p>
            <w:pPr>
              <w:pStyle w:val="Compact"/>
              <w:spacing w:after="80"/>
              <w:jc w:val="left"/>
            </w:pPr>
            <w:r>
              <w:rPr>
                <w:sz w:val="18"/>
              </w:rPr>
              <w:t xml:space="preserve">Full candidate posterior means and predictive covariance</w:t>
            </w:r>
          </w:p>
        </w:tc>
      </w:tr>
      <w:tr>
        <w:tc>
          <w:tcPr/>
          <w:p>
            <w:pPr>
              <w:pStyle w:val="Compact"/>
              <w:spacing w:after="80"/>
              <w:jc w:val="left"/>
            </w:pPr>
            <w:r>
              <w:rPr>
                <w:sz w:val="18"/>
              </w:rPr>
              <w:t xml:space="preserve">eb_isotropic</w:t>
            </w:r>
          </w:p>
        </w:tc>
        <w:tc>
          <w:tcPr/>
          <w:p>
            <w:pPr>
              <w:pStyle w:val="Compact"/>
              <w:spacing w:after="80"/>
              <w:jc w:val="left"/>
            </w:pPr>
            <w:r>
              <w:rPr>
                <w:sz w:val="18"/>
              </w:rPr>
              <w:t xml:space="preserve">Isotropic mean-noise replacement, retaining predictive covariance</w:t>
            </w:r>
          </w:p>
        </w:tc>
      </w:tr>
      <w:tr>
        <w:tc>
          <w:tcPr/>
          <w:p>
            <w:pPr>
              <w:pStyle w:val="Compact"/>
              <w:spacing w:after="80"/>
              <w:jc w:val="left"/>
            </w:pPr>
            <w:r>
              <w:rPr>
                <w:sz w:val="18"/>
              </w:rPr>
              <w:t xml:space="preserve">eb_coupled</w:t>
            </w:r>
          </w:p>
        </w:tc>
        <w:tc>
          <w:tcPr/>
          <w:p>
            <w:pPr>
              <w:pStyle w:val="Compact"/>
              <w:spacing w:after="80"/>
              <w:jc w:val="left"/>
            </w:pPr>
            <w:r>
              <w:rPr>
                <w:sz w:val="18"/>
              </w:rPr>
              <w:t xml:space="preserve">One common shift scale instead of separate m/h scales</w:t>
            </w:r>
          </w:p>
        </w:tc>
      </w:tr>
      <w:tr>
        <w:tc>
          <w:tcPr/>
          <w:p>
            <w:pPr>
              <w:pStyle w:val="Compact"/>
              <w:spacing w:after="80"/>
              <w:jc w:val="left"/>
            </w:pPr>
            <w:r>
              <w:rPr>
                <w:sz w:val="18"/>
              </w:rPr>
              <w:t xml:space="preserve">eb_no_source_noise</w:t>
            </w:r>
          </w:p>
        </w:tc>
        <w:tc>
          <w:tcPr/>
          <w:p>
            <w:pPr>
              <w:pStyle w:val="Compact"/>
              <w:spacing w:after="80"/>
              <w:jc w:val="left"/>
            </w:pPr>
            <w:r>
              <w:rPr>
                <w:sz w:val="18"/>
              </w:rPr>
              <w:t xml:space="preserve">Same estimated T, with source mean-noise covariance removed</w:t>
            </w:r>
          </w:p>
        </w:tc>
      </w:tr>
      <w:tr>
        <w:tc>
          <w:tcPr/>
          <w:p>
            <w:pPr>
              <w:pStyle w:val="Compact"/>
              <w:spacing w:after="80"/>
              <w:jc w:val="left"/>
            </w:pPr>
            <w:r>
              <w:rPr>
                <w:sz w:val="18"/>
              </w:rPr>
              <w:t xml:space="preserve">eb_no_shift</w:t>
            </w:r>
          </w:p>
        </w:tc>
        <w:tc>
          <w:tcPr/>
          <w:p>
            <w:pPr>
              <w:pStyle w:val="Compact"/>
              <w:spacing w:after="80"/>
              <w:jc w:val="left"/>
            </w:pPr>
            <w:r>
              <w:rPr>
                <w:sz w:val="18"/>
              </w:rPr>
              <w:t xml:space="preserve">T=0, retaining finite-sample mean updating</w:t>
            </w:r>
          </w:p>
        </w:tc>
      </w:tr>
    </w:tbl>
    <w:p>
      <w:pPr>
        <w:pStyle w:val="BodyText"/>
      </w:pPr>
      <w:r>
        <w:t xml:space="preserve">The candidate-minus-tangent_refit cap 20 comparison retains its prespecified primary role. Candidate-minus-saved-V2-EA-CSP is the strong reference. Other budgets and ablations provide the full component profiles.</w:t>
      </w:r>
    </w:p>
    <w:bookmarkEnd w:id="26"/>
    <w:bookmarkEnd w:id="27"/>
    <w:bookmarkStart w:id="28" w:name="Xe67cbbb56d9b54db80e76afb3ea7ad4a9943691"/>
    <w:p>
      <w:pPr>
        <w:pStyle w:val="Heading2"/>
      </w:pPr>
      <w:r>
        <w:rPr>
          <w:color w:val="000000"/>
        </w:rPr>
        <w:t xml:space="preserve">S 5. Neural update modes and optimization</w:t>
      </w:r>
    </w:p>
    <w:p>
      <w:pPr>
        <w:pStyle w:val="FirstParagraph"/>
      </w:pPr>
      <w:r>
        <w:t xml:space="preserve">The compact HPC network uses temporal_filters 8, depth_multiplier 2, kernel_length 64, source Dropout 0.25, BN epsilon 0.001 and momentum 0.01. The individual regime reuses 18 V2 checkpoint identities; the pooled regime uses three new shared source checkpoints trained on 240 source-training/120 source-validation examples. These six participants are the same people in both conditions.</w:t>
      </w:r>
    </w:p>
    <w:p>
      <w:pPr>
        <w:pStyle w:val="BodyText"/>
      </w:pPr>
      <w:r>
        <w:t xml:space="preserve">All optimizer adaptations use 20 epochs, batch 16, AdamW, learning rate</w:t>
      </w:r>
      <w:r>
        <w:t xml:space="preserve"> </w:t>
      </w:r>
      <m:oMath>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cosine scheduling and no AMP. A separate saved sampler controls support order. The methods reset to their own declared teacher before adapting each current-session/budget; they do not accumulate future support. Source normalization is reused rather than refitted from query.</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after="80"/>
              <w:jc w:val="left"/>
            </w:pPr>
            <w:r>
              <w:rPr>
                <w:b/>
                <w:sz w:val="18"/>
              </w:rPr>
              <w:t xml:space="preserve">Policy (readable name)</w:t>
            </w:r>
          </w:p>
        </w:tc>
        <w:tc>
          <w:tcPr/>
          <w:p>
            <w:pPr>
              <w:pStyle w:val="Compact"/>
              <w:spacing w:after="80"/>
              <w:jc w:val="left"/>
            </w:pPr>
            <w:r>
              <w:rPr>
                <w:b/>
                <w:sz w:val="18"/>
              </w:rPr>
              <w:t xml:space="preserve">Optimized parameters</w:t>
            </w:r>
          </w:p>
        </w:tc>
        <w:tc>
          <w:tcPr/>
          <w:p>
            <w:pPr>
              <w:pStyle w:val="Compact"/>
              <w:spacing w:after="80"/>
              <w:jc w:val="left"/>
            </w:pPr>
            <w:r>
              <w:rPr>
                <w:b/>
                <w:sz w:val="18"/>
              </w:rPr>
              <w:t xml:space="preserve">Adaptation BN mode</w:t>
            </w:r>
          </w:p>
        </w:tc>
        <w:tc>
          <w:tcPr/>
          <w:p>
            <w:pPr>
              <w:pStyle w:val="Compact"/>
              <w:spacing w:after="80"/>
              <w:jc w:val="left"/>
            </w:pPr>
            <w:r>
              <w:rPr>
                <w:b/>
                <w:sz w:val="18"/>
              </w:rPr>
              <w:t xml:space="preserve">Dropout during adaptation</w:t>
            </w:r>
          </w:p>
        </w:tc>
      </w:tr>
      <w:tr>
        <w:tc>
          <w:tcPr/>
          <w:p>
            <w:pPr>
              <w:pStyle w:val="Compact"/>
              <w:spacing w:after="80"/>
              <w:jc w:val="left"/>
            </w:pPr>
            <w:r>
              <w:rPr>
                <w:sz w:val="18"/>
              </w:rPr>
              <w:t xml:space="preserve">Frozen</w:t>
            </w:r>
          </w:p>
        </w:tc>
        <w:tc>
          <w:tcPr/>
          <w:p>
            <w:pPr>
              <w:pStyle w:val="Compact"/>
              <w:spacing w:after="80"/>
              <w:jc w:val="left"/>
            </w:pPr>
            <w:r>
              <w:rPr>
                <w:sz w:val="18"/>
              </w:rPr>
              <w:t xml:space="preserve">None</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Head only, fixed BN</w:t>
            </w:r>
          </w:p>
        </w:tc>
        <w:tc>
          <w:tcPr/>
          <w:p>
            <w:pPr>
              <w:pStyle w:val="Compact"/>
              <w:spacing w:after="80"/>
              <w:jc w:val="left"/>
            </w:pPr>
            <w:r>
              <w:rPr>
                <w:sz w:val="18"/>
              </w:rPr>
              <w:t xml:space="preserve">Classifier head</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Full, fixed BN</w:t>
            </w:r>
          </w:p>
        </w:tc>
        <w:tc>
          <w:tcPr/>
          <w:p>
            <w:pPr>
              <w:pStyle w:val="Compact"/>
              <w:spacing w:after="80"/>
              <w:jc w:val="left"/>
            </w:pPr>
            <w:r>
              <w:rPr>
                <w:sz w:val="18"/>
              </w:rPr>
              <w:t xml:space="preserve">All</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Full, adaptive BN</w:t>
            </w:r>
          </w:p>
        </w:tc>
        <w:tc>
          <w:tcPr/>
          <w:p>
            <w:pPr>
              <w:pStyle w:val="Compact"/>
              <w:spacing w:after="80"/>
              <w:jc w:val="left"/>
            </w:pPr>
            <w:r>
              <w:rPr>
                <w:sz w:val="18"/>
              </w:rPr>
              <w:t xml:space="preserve">All</w:t>
            </w:r>
          </w:p>
        </w:tc>
        <w:tc>
          <w:tcPr/>
          <w:p>
            <w:pPr>
              <w:pStyle w:val="Compact"/>
              <w:spacing w:after="80"/>
              <w:jc w:val="left"/>
            </w:pPr>
            <w:r>
              <w:rPr>
                <w:sz w:val="18"/>
              </w:rPr>
              <w:t xml:space="preserve">Current minibatch statistics; running-state updates</w:t>
            </w:r>
          </w:p>
        </w:tc>
        <w:tc>
          <w:tcPr/>
          <w:p>
            <w:pPr>
              <w:pStyle w:val="Compact"/>
              <w:spacing w:after="80"/>
              <w:jc w:val="left"/>
            </w:pPr>
            <w:r>
              <w:rPr>
                <w:sz w:val="18"/>
              </w:rPr>
              <w:t xml:space="preserve">Off</w:t>
            </w:r>
          </w:p>
        </w:tc>
      </w:tr>
      <w:tr>
        <w:tc>
          <w:tcPr/>
          <w:p>
            <w:pPr>
              <w:pStyle w:val="Compact"/>
              <w:spacing w:after="80"/>
              <w:jc w:val="left"/>
            </w:pPr>
            <w:r>
              <w:rPr>
                <w:sz w:val="18"/>
              </w:rPr>
              <w:t xml:space="preserve">Full, adaptive BN + Dropout</w:t>
            </w:r>
          </w:p>
        </w:tc>
        <w:tc>
          <w:tcPr/>
          <w:p>
            <w:pPr>
              <w:pStyle w:val="Compact"/>
              <w:spacing w:after="80"/>
              <w:jc w:val="left"/>
            </w:pPr>
            <w:r>
              <w:rPr>
                <w:sz w:val="18"/>
              </w:rPr>
              <w:t xml:space="preserve">All</w:t>
            </w:r>
          </w:p>
        </w:tc>
        <w:tc>
          <w:tcPr/>
          <w:p>
            <w:pPr>
              <w:pStyle w:val="Compact"/>
              <w:spacing w:after="80"/>
              <w:jc w:val="left"/>
            </w:pPr>
            <w:r>
              <w:rPr>
                <w:sz w:val="18"/>
              </w:rPr>
              <w:t xml:space="preserve">Current minibatch statistics; running-state updates</w:t>
            </w:r>
          </w:p>
        </w:tc>
        <w:tc>
          <w:tcPr/>
          <w:p>
            <w:pPr>
              <w:pStyle w:val="Compact"/>
              <w:spacing w:after="80"/>
              <w:jc w:val="left"/>
            </w:pPr>
            <w:r>
              <w:rPr>
                <w:sz w:val="18"/>
              </w:rPr>
              <w:t xml:space="preserve">On</w:t>
            </w:r>
          </w:p>
        </w:tc>
      </w:tr>
      <w:tr>
        <w:tc>
          <w:tcPr/>
          <w:p>
            <w:pPr>
              <w:pStyle w:val="Compact"/>
              <w:spacing w:after="80"/>
              <w:jc w:val="left"/>
            </w:pPr>
            <w:r>
              <w:rPr>
                <w:sz w:val="18"/>
              </w:rPr>
              <w:t xml:space="preserve">BN affine, fixed statistics</w:t>
            </w:r>
          </w:p>
        </w:tc>
        <w:tc>
          <w:tcPr/>
          <w:p>
            <w:pPr>
              <w:pStyle w:val="Compact"/>
              <w:spacing w:after="80"/>
              <w:jc w:val="left"/>
            </w:pPr>
            <w:r>
              <w:rPr>
                <w:sz w:val="18"/>
              </w:rPr>
              <w:t xml:space="preserve">BN affine scale/bias only</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BN statistics only</w:t>
            </w:r>
          </w:p>
        </w:tc>
        <w:tc>
          <w:tcPr/>
          <w:p>
            <w:pPr>
              <w:pStyle w:val="Compact"/>
              <w:spacing w:after="80"/>
              <w:jc w:val="left"/>
            </w:pPr>
            <w:r>
              <w:rPr>
                <w:sz w:val="18"/>
              </w:rPr>
              <w:t xml:space="preserve">No optimizer; one support batch</w:t>
            </w:r>
          </w:p>
        </w:tc>
        <w:tc>
          <w:tcPr/>
          <w:p>
            <w:pPr>
              <w:pStyle w:val="Compact"/>
              <w:spacing w:after="80"/>
              <w:jc w:val="left"/>
            </w:pPr>
            <w:r>
              <w:rPr>
                <w:sz w:val="18"/>
              </w:rPr>
              <w:t xml:space="preserve">Running-state update</w:t>
            </w:r>
          </w:p>
        </w:tc>
        <w:tc>
          <w:tcPr/>
          <w:p>
            <w:pPr>
              <w:pStyle w:val="Compact"/>
              <w:spacing w:after="80"/>
              <w:jc w:val="left"/>
            </w:pPr>
            <w:r>
              <w:rPr>
                <w:sz w:val="18"/>
              </w:rPr>
              <w:t xml:space="preserve">Off</w:t>
            </w:r>
          </w:p>
        </w:tc>
      </w:tr>
      <w:tr>
        <w:tc>
          <w:tcPr/>
          <w:p>
            <w:pPr>
              <w:pStyle w:val="Compact"/>
              <w:spacing w:after="80"/>
              <w:jc w:val="left"/>
            </w:pPr>
            <w:r>
              <w:rPr>
                <w:sz w:val="18"/>
              </w:rPr>
              <w:t xml:space="preserve">Full, KL constrained</w:t>
            </w:r>
          </w:p>
        </w:tc>
        <w:tc>
          <w:tcPr/>
          <w:p>
            <w:pPr>
              <w:pStyle w:val="Compact"/>
              <w:spacing w:after="80"/>
              <w:jc w:val="left"/>
            </w:pPr>
            <w:r>
              <w:rPr>
                <w:sz w:val="18"/>
              </w:rPr>
              <w:t xml:space="preserve">All, subject to source KL constraint</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bl>
    <w:p>
      <w:pPr>
        <w:pStyle w:val="BodyText"/>
      </w:pPr>
      <w:r>
        <w:t xml:space="preserve">Canonical policy IDs are retained in the complete machine-readable tables: frozen, head_fixed, full_fixed, full_adaptive_bn, full_adaptive_bn_dropout, bn_affine_fixed, bn_stats_only and trust_fixed, in the row order above.</w:t>
      </w:r>
    </w:p>
    <w:p>
      <w:pPr>
        <w:pStyle w:val="BodyText"/>
      </w:pPr>
      <w:r>
        <w:t xml:space="preserve">Fixed/adaptive BN changes normalization during gradient computation and the resulting running state; weight trajectories can consequently differ. Within each budget, initialization, support order, Dropout and optimizer exposure are held fixed. Across budgets, examples and minibatch structure change together: batch 16 gives one batch per epoch for caps≤16 and two for 19/20. With three BN modules, 20 epochs correspond to 60 or 120 total batch-counter increments. Thus the within-budget comparison identifies the BN-mode effect, while the between-budget profiles combine label quantity, class composition and update schedule.</w:t>
      </w:r>
    </w:p>
    <w:p>
      <w:pPr>
        <w:pStyle w:val="BodyText"/>
      </w:pPr>
      <w:r>
        <w:t xml:space="preserve">The functional policy evaluates teacher-to-candidate mean KL on 40 source-training anchors and enforces δ=0.01 in the core experiment, with separate full runs at 0.001 and 0.1. Up to 12 halvings are attempted for a proposed optimizer step. Rejected proposals restore parameters and Adam state and are counted separately from accepted optimizer updates. These steps form the constrained optimizer’s proposal procedure. Pinsker and Jensen give mean anchor total variation ≤√(δ/2). The bound concerns prediction probabilities on the source anchors; target BA is an empirical endpoint.</w:t>
      </w:r>
    </w:p>
    <w:bookmarkEnd w:id="28"/>
    <w:bookmarkStart w:id="29" w:name="X95ac20f9496a93dae2126151be750452eec5969"/>
    <w:p>
      <w:pPr>
        <w:pStyle w:val="Heading2"/>
      </w:pPr>
      <w:r>
        <w:rPr>
          <w:color w:val="000000"/>
        </w:rPr>
        <w:t xml:space="preserve">S 6. Complete reporting, intervals and influence</w:t>
      </w:r>
    </w:p>
    <w:p>
      <w:pPr>
        <w:pStyle w:val="FirstParagraph"/>
      </w:pPr>
      <w:r>
        <w:t xml:space="preserve">Machine-readable tables retain every method, budget, participant, session and seed, together with the predefined contrast roles. Original intervals use 10,000 participant resamples with seed 42; extension intervals use the same number with seed 20261023. Complete method and budget profiles accompany the selected component interpretations.</w:t>
      </w:r>
    </w:p>
    <w:p>
      <w:pPr>
        <w:pStyle w:val="BodyText"/>
      </w:pPr>
      <w:r>
        <w:t xml:space="preserve">The cap 20 BN-mode participant-deletion mean ranges were +1.07 to +1.90 pp for individual sources and +1.34 to +2.29 pp for pooled sources. These summaries assess participant influence on the same six-person result.</w:t>
      </w:r>
    </w:p>
    <w:p>
      <w:pPr>
        <w:pStyle w:val="BodyText"/>
      </w:pPr>
      <w:r>
        <w:t xml:space="preserve">Collapse means a model/session predicts one class on its query set even when both true classes exist. Cap 20 fixed-BN/adaptive-BN collapse counts were 8/16 for individual sources and 0/18 for pooled sources, each out of 90 nested seed/session cells. All predictions contributed to BA; participant averages define the independent endpoint.</w:t>
      </w:r>
    </w:p>
    <w:bookmarkEnd w:id="29"/>
    <w:bookmarkStart w:id="30" w:name="s-7.-complete-saved-synthetic-grid"/>
    <w:p>
      <w:pPr>
        <w:pStyle w:val="Heading2"/>
      </w:pPr>
      <w:r>
        <w:rPr>
          <w:color w:val="000000"/>
        </w:rPr>
        <w:t xml:space="preserve">S 7. Complete saved synthetic grid</w:t>
      </w:r>
    </w:p>
    <w:p>
      <w:pPr>
        <w:pStyle w:val="FirstParagraph"/>
      </w:pPr>
      <w:r>
        <w:t xml:space="preserve">The fixed factorial grid used p∈{16, 64}, source examples per class∈{10, 20,100}, support examples per class∈{1, 2, 5, 10}, shift type∈{none, common, contrast, both}, anisotropy∈{1, 20}, and stationary AR(1) correlation∈{0, 0.5}. Shift scale was 0.5, with 50 paired draws and 100 query examples per class. All nine methods received the same source/support/query draws within each replicate. The estimator used its fixed variance approximation across all generating correlations.</w:t>
      </w:r>
    </w:p>
    <w:p>
      <w:pPr>
        <w:pStyle w:val="BodyText"/>
      </w:pPr>
      <w:r>
        <w:t xml:space="preserve">All 172,800 saved cells were retained with finite metrics and explicit synthetic/software-validation flags. Cross entropy uses the true-class probability with a numerical lower bound of</w:t>
      </w:r>
      <w:r>
        <w:t xml:space="preserve"> </w:t>
      </w:r>
      <m:oMath>
        <m:sSup>
          <m:e>
            <m:r>
              <m:t>10</m:t>
            </m:r>
          </m:e>
          <m:sup>
            <m:r>
              <m:rPr>
                <m:sty m:val="p"/>
              </m:rPr>
              <m:t>−</m:t>
            </m:r>
            <m:r>
              <m:t>15</m:t>
            </m:r>
          </m:sup>
        </m:sSup>
      </m:oMath>
      <w:r>
        <w:t xml:space="preserve"> </w:t>
      </w:r>
      <w:r>
        <w:t xml:space="preserve">before taking the logarithm. Outcomes comprise BA, cross entropy, binary Brier score and two class-mean squared-error definitions. Full-grid averaging gives every frozen scenario equal weight. Paired Monte Carlo variation measures the finite draws under these fixed generating conditions, separately from the human-participant endpoint intervals.</w:t>
      </w:r>
    </w:p>
    <w:p>
      <w:pPr>
        <w:pStyle w:val="BodyText"/>
      </w:pPr>
      <w:r>
        <w:t xml:space="preserve">The companion figure and saved scenario table display performance by shift, noise anisotropy, dimension, source size and serial correlation. Full-grid summaries accompany the factor-specific profiles. Probability-based EEG diagnostics use the saved probabilities; their numerical logarithmic-scoring floor is identified in the analysis record.</w:t>
      </w:r>
    </w:p>
    <w:bookmarkEnd w:id="30"/>
    <w:bookmarkStart w:id="31" w:name="Xaed2b4d9dd0935435430329e8603b9630725450"/>
    <w:p>
      <w:pPr>
        <w:pStyle w:val="Heading2"/>
      </w:pPr>
      <w:r>
        <w:rPr>
          <w:color w:val="000000"/>
        </w:rPr>
        <w:t xml:space="preserve">S 8. Calibration measurements and interpretation</w:t>
      </w:r>
    </w:p>
    <w:p>
      <w:pPr>
        <w:pStyle w:val="FirstParagraph"/>
      </w:pPr>
      <w:r>
        <w:t xml:space="preserve">Original source/support probes evaluated low-dimensional power and source-fitted representations, followed by supervised CSP4/LDA controls. The support-half analysis split each class chronologically and retained frozen source transforms. Among 30 sessions, 19 had positive signed source-score orientation in both halves, two were negative in both, and nine changed sign. These observations distinguish calibration-subset agreement from the intended class orientation, providing measurements for future support-driven policy tests.</w:t>
      </w:r>
    </w:p>
    <w:p>
      <w:pPr>
        <w:pStyle w:val="BodyText"/>
      </w:pPr>
      <w:r>
        <w:t xml:space="preserve">The Kumar and V2/V3 endpoints are offline task-label decoding in the same longitudinal cohort. Cue/feedback contributions, zero-phase filtering and amplitude artifacts in fitting/query data affect their interpretation. Pooled-source and source-validation labels are explicit information-budget differences. The separate fixed-budget BNCI replication in Section S12 evaluates spatial update operations in another acquisition; independent neural validation remains a further step.</w:t>
      </w:r>
    </w:p>
    <w:bookmarkEnd w:id="31"/>
    <w:bookmarkStart w:id="32" w:name="X837591ee09499a17584d33665545a671f4cb7ec"/>
    <w:p>
      <w:pPr>
        <w:pStyle w:val="Heading2"/>
      </w:pPr>
      <w:r>
        <w:rPr>
          <w:color w:val="000000"/>
        </w:rPr>
        <w:t xml:space="preserve">S 9. Saved-result provenance and computational scope</w:t>
      </w:r>
    </w:p>
    <w:p>
      <w:pPr>
        <w:pStyle w:val="FirstParagraph"/>
      </w:pPr>
      <w:r>
        <w:t xml:space="preserve">The V3 raw received archive is</w:t>
      </w:r>
      <w:r>
        <w:t xml:space="preserve"> </w:t>
      </w:r>
      <w:r>
        <w:rPr>
          <w:rStyle w:val="VerbatimChar"/>
        </w:rPr>
        <w:t xml:space="preserve">paper2-results-83cbdfdcfa541b3ab3addfc3.tar.gz</w:t>
      </w:r>
      <w:r>
        <w:t xml:space="preserve">, 40,194,093 bytes, SHA256</w:t>
      </w:r>
      <w:r>
        <w:t xml:space="preserve"> </w:t>
      </w:r>
      <w:r>
        <w:rPr>
          <w:rStyle w:val="VerbatimChar"/>
        </w:rPr>
        <w:t xml:space="preserve">e509c2591efa21fff4dd47236e613ed6b611ca10ad20bac3da37e66e34a9d170</w:t>
      </w:r>
      <w:r>
        <w:t xml:space="preserve">. It comprises three verified GitHub parts at fixed commit</w:t>
      </w:r>
      <w:r>
        <w:t xml:space="preserve"> </w:t>
      </w:r>
      <w:r>
        <w:rPr>
          <w:rStyle w:val="VerbatimChar"/>
        </w:rPr>
        <w:t xml:space="preserve">500831c086d9e1d1e8412cf8ebca5fb6a288db76</w:t>
      </w:r>
      <w:r>
        <w:t xml:space="preserve">. Its 49,984 payload files plus manifest matched their lengths and checksums; 126 unique valid task-completion identities matched the frozen queue. The public packet contains no original EEG, optimizer tensors or model weights.</w:t>
      </w:r>
    </w:p>
    <w:p>
      <w:pPr>
        <w:pStyle w:val="BodyText"/>
      </w:pPr>
      <w:r>
        <w:t xml:space="preserve">Runtime, scheduler and storage records are provided in the repository audit reports. Saved-prediction reconstruction supplies the numerical verification.</w:t>
      </w:r>
    </w:p>
    <w:p>
      <w:pPr>
        <w:pStyle w:val="BodyText"/>
      </w:pPr>
      <w:r>
        <w:t xml:space="preserve">Kumar analyses reused saved predictions, metrics and histories with their original fitted models, seeds and support windows. The external comparison in Section S12 generated its own four-method predictions. Original submission packages and all experiment outcomes remain at their versioned paths. Reproduction scripts, table definitions, figure inputs and targeted verification are identified in the accompanying revision report.</w:t>
      </w:r>
    </w:p>
    <w:bookmarkEnd w:id="32"/>
    <w:bookmarkStart w:id="33" w:name="X6cace9ba9353d82de8d8d9e90b52d3d82389a06"/>
    <w:p>
      <w:pPr>
        <w:pStyle w:val="Heading2"/>
      </w:pPr>
      <w:r>
        <w:rPr>
          <w:color w:val="000000"/>
        </w:rPr>
        <w:t xml:space="preserve">S 10. Complete V3 cohort means across all frozen budgets</w:t>
      </w:r>
    </w:p>
    <w:p>
      <w:pPr>
        <w:pStyle w:val="FirstParagraph"/>
      </w:pPr>
      <w:r>
        <w:t xml:space="preserve">Values are BA percentages. Every row uses all six participants, all five target sessions and all declared seeds where applicable.</w:t>
      </w:r>
      <w:r>
        <w:t xml:space="preserve"> </w:t>
      </w:r>
      <w:r>
        <w:rPr>
          <w:rStyle w:val="VerbatimChar"/>
        </w:rPr>
        <w:t xml:space="preserve">core</w:t>
      </w:r>
      <w:r>
        <w:t xml:space="preserve">,</w:t>
      </w:r>
      <w:r>
        <w:t xml:space="preserve"> </w:t>
      </w:r>
      <w:r>
        <w:rPr>
          <w:rStyle w:val="VerbatimChar"/>
        </w:rPr>
        <w:t xml:space="preserve">kl0p001</w:t>
      </w:r>
      <w:r>
        <w:t xml:space="preserve"> </w:t>
      </w:r>
      <w:r>
        <w:t xml:space="preserve">and</w:t>
      </w:r>
      <w:r>
        <w:t xml:space="preserve"> </w:t>
      </w:r>
      <w:r>
        <w:rPr>
          <w:rStyle w:val="VerbatimChar"/>
        </w:rPr>
        <w:t xml:space="preserve">kl0p1</w:t>
      </w:r>
      <w:r>
        <w:t xml:space="preserve"> </w:t>
      </w:r>
      <w:r>
        <w:t xml:space="preserve">identify the separately frozen variants. The saved EA reference is included under the geometric scope after ordered query-identity alignment.</w:t>
      </w:r>
    </w:p>
    <w:tbl>
      <w:tblPr>
        <w:tblStyle w:val="Table"/>
        <w:tblW w:type="pct" w:w="5000"/>
        <w:jc w:val="left"/>
        <w:tblLayout w:type="autofit"/>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spacing w:after="80"/>
              <w:jc w:val="left"/>
            </w:pPr>
            <w:r>
              <w:rPr>
                <w:b/>
                <w:sz w:val="18"/>
              </w:rPr>
              <w:t xml:space="preserve">Family / source / variant</w:t>
            </w:r>
          </w:p>
        </w:tc>
        <w:tc>
          <w:tcPr/>
          <w:p>
            <w:pPr>
              <w:pStyle w:val="Compact"/>
              <w:spacing w:after="80"/>
              <w:jc w:val="left"/>
            </w:pPr>
            <w:r>
              <w:rPr>
                <w:b/>
                <w:sz w:val="18"/>
              </w:rPr>
              <w:t xml:space="preserve">Method</w:t>
            </w:r>
          </w:p>
        </w:tc>
        <w:tc>
          <w:tcPr/>
          <w:p>
            <w:pPr>
              <w:pStyle w:val="Compact"/>
              <w:spacing w:after="80"/>
              <w:jc w:val="right"/>
            </w:pPr>
            <w:r>
              <w:rPr>
                <w:b/>
                <w:sz w:val="18"/>
              </w:rPr>
              <w:t xml:space="preserve">Cap 4</w:t>
            </w:r>
          </w:p>
        </w:tc>
        <w:tc>
          <w:tcPr/>
          <w:p>
            <w:pPr>
              <w:pStyle w:val="Compact"/>
              <w:spacing w:after="80"/>
              <w:jc w:val="right"/>
            </w:pPr>
            <w:r>
              <w:rPr>
                <w:b/>
                <w:sz w:val="18"/>
              </w:rPr>
              <w:t xml:space="preserve">Cap 8</w:t>
            </w:r>
          </w:p>
        </w:tc>
        <w:tc>
          <w:tcPr/>
          <w:p>
            <w:pPr>
              <w:pStyle w:val="Compact"/>
              <w:spacing w:after="80"/>
              <w:jc w:val="right"/>
            </w:pPr>
            <w:r>
              <w:rPr>
                <w:b/>
                <w:sz w:val="18"/>
              </w:rPr>
              <w:t xml:space="preserve">Cap 12</w:t>
            </w:r>
          </w:p>
        </w:tc>
        <w:tc>
          <w:tcPr/>
          <w:p>
            <w:pPr>
              <w:pStyle w:val="Compact"/>
              <w:spacing w:after="80"/>
              <w:jc w:val="right"/>
            </w:pPr>
            <w:r>
              <w:rPr>
                <w:b/>
                <w:sz w:val="18"/>
              </w:rPr>
              <w:t xml:space="preserve">Cap 16</w:t>
            </w:r>
          </w:p>
        </w:tc>
        <w:tc>
          <w:tcPr/>
          <w:p>
            <w:pPr>
              <w:pStyle w:val="Compact"/>
              <w:spacing w:after="80"/>
              <w:jc w:val="right"/>
            </w:pPr>
            <w:r>
              <w:rPr>
                <w:b/>
                <w:sz w:val="18"/>
              </w:rPr>
              <w:t xml:space="preserve">Cap 20</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coupled</w:t>
            </w:r>
          </w:p>
        </w:tc>
        <w:tc>
          <w:tcPr/>
          <w:p>
            <w:pPr>
              <w:pStyle w:val="Compact"/>
              <w:spacing w:after="80"/>
              <w:jc w:val="right"/>
            </w:pPr>
            <w:r>
              <w:rPr>
                <w:sz w:val="18"/>
              </w:rPr>
              <w:t xml:space="preserve">57.82</w:t>
            </w:r>
          </w:p>
        </w:tc>
        <w:tc>
          <w:tcPr/>
          <w:p>
            <w:pPr>
              <w:pStyle w:val="Compact"/>
              <w:spacing w:after="80"/>
              <w:jc w:val="right"/>
            </w:pPr>
            <w:r>
              <w:rPr>
                <w:sz w:val="18"/>
              </w:rPr>
              <w:t xml:space="preserve">60.33</w:t>
            </w:r>
          </w:p>
        </w:tc>
        <w:tc>
          <w:tcPr/>
          <w:p>
            <w:pPr>
              <w:pStyle w:val="Compact"/>
              <w:spacing w:after="80"/>
              <w:jc w:val="right"/>
            </w:pPr>
            <w:r>
              <w:rPr>
                <w:sz w:val="18"/>
              </w:rPr>
              <w:t xml:space="preserve">61.63</w:t>
            </w:r>
          </w:p>
        </w:tc>
        <w:tc>
          <w:tcPr/>
          <w:p>
            <w:pPr>
              <w:pStyle w:val="Compact"/>
              <w:spacing w:after="80"/>
              <w:jc w:val="right"/>
            </w:pPr>
            <w:r>
              <w:rPr>
                <w:sz w:val="18"/>
              </w:rPr>
              <w:t xml:space="preserve">66.10</w:t>
            </w:r>
          </w:p>
        </w:tc>
        <w:tc>
          <w:tcPr/>
          <w:p>
            <w:pPr>
              <w:pStyle w:val="Compact"/>
              <w:spacing w:after="80"/>
              <w:jc w:val="right"/>
            </w:pPr>
            <w:r>
              <w:rPr>
                <w:sz w:val="18"/>
              </w:rPr>
              <w:t xml:space="preserve">61.35</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isotropic</w:t>
            </w:r>
          </w:p>
        </w:tc>
        <w:tc>
          <w:tcPr/>
          <w:p>
            <w:pPr>
              <w:pStyle w:val="Compact"/>
              <w:spacing w:after="80"/>
              <w:jc w:val="right"/>
            </w:pPr>
            <w:r>
              <w:rPr>
                <w:sz w:val="18"/>
              </w:rPr>
              <w:t xml:space="preserve">62.37</w:t>
            </w:r>
          </w:p>
        </w:tc>
        <w:tc>
          <w:tcPr/>
          <w:p>
            <w:pPr>
              <w:pStyle w:val="Compact"/>
              <w:spacing w:after="80"/>
              <w:jc w:val="right"/>
            </w:pPr>
            <w:r>
              <w:rPr>
                <w:sz w:val="18"/>
              </w:rPr>
              <w:t xml:space="preserve">62.72</w:t>
            </w:r>
          </w:p>
        </w:tc>
        <w:tc>
          <w:tcPr/>
          <w:p>
            <w:pPr>
              <w:pStyle w:val="Compact"/>
              <w:spacing w:after="80"/>
              <w:jc w:val="right"/>
            </w:pPr>
            <w:r>
              <w:rPr>
                <w:sz w:val="18"/>
              </w:rPr>
              <w:t xml:space="preserve">65.14</w:t>
            </w:r>
          </w:p>
        </w:tc>
        <w:tc>
          <w:tcPr/>
          <w:p>
            <w:pPr>
              <w:pStyle w:val="Compact"/>
              <w:spacing w:after="80"/>
              <w:jc w:val="right"/>
            </w:pPr>
            <w:r>
              <w:rPr>
                <w:sz w:val="18"/>
              </w:rPr>
              <w:t xml:space="preserve">66.31</w:t>
            </w:r>
          </w:p>
        </w:tc>
        <w:tc>
          <w:tcPr/>
          <w:p>
            <w:pPr>
              <w:pStyle w:val="Compact"/>
              <w:spacing w:after="80"/>
              <w:jc w:val="right"/>
            </w:pPr>
            <w:r>
              <w:rPr>
                <w:sz w:val="18"/>
              </w:rPr>
              <w:t xml:space="preserve">64.57</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no shift</w:t>
            </w:r>
          </w:p>
        </w:tc>
        <w:tc>
          <w:tcPr/>
          <w:p>
            <w:pPr>
              <w:pStyle w:val="Compact"/>
              <w:spacing w:after="80"/>
              <w:jc w:val="right"/>
            </w:pPr>
            <w:r>
              <w:rPr>
                <w:sz w:val="18"/>
              </w:rPr>
              <w:t xml:space="preserve">59.06</w:t>
            </w:r>
          </w:p>
        </w:tc>
        <w:tc>
          <w:tcPr/>
          <w:p>
            <w:pPr>
              <w:pStyle w:val="Compact"/>
              <w:spacing w:after="80"/>
              <w:jc w:val="right"/>
            </w:pPr>
            <w:r>
              <w:rPr>
                <w:sz w:val="18"/>
              </w:rPr>
              <w:t xml:space="preserve">57.23</w:t>
            </w:r>
          </w:p>
        </w:tc>
        <w:tc>
          <w:tcPr/>
          <w:p>
            <w:pPr>
              <w:pStyle w:val="Compact"/>
              <w:spacing w:after="80"/>
              <w:jc w:val="right"/>
            </w:pPr>
            <w:r>
              <w:rPr>
                <w:sz w:val="18"/>
              </w:rPr>
              <w:t xml:space="preserve">60.62</w:t>
            </w:r>
          </w:p>
        </w:tc>
        <w:tc>
          <w:tcPr/>
          <w:p>
            <w:pPr>
              <w:pStyle w:val="Compact"/>
              <w:spacing w:after="80"/>
              <w:jc w:val="right"/>
            </w:pPr>
            <w:r>
              <w:rPr>
                <w:sz w:val="18"/>
              </w:rPr>
              <w:t xml:space="preserve">62.53</w:t>
            </w:r>
          </w:p>
        </w:tc>
        <w:tc>
          <w:tcPr/>
          <w:p>
            <w:pPr>
              <w:pStyle w:val="Compact"/>
              <w:spacing w:after="80"/>
              <w:jc w:val="right"/>
            </w:pPr>
            <w:r>
              <w:rPr>
                <w:sz w:val="18"/>
              </w:rPr>
              <w:t xml:space="preserve">60.22</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no source noise</w:t>
            </w:r>
          </w:p>
        </w:tc>
        <w:tc>
          <w:tcPr/>
          <w:p>
            <w:pPr>
              <w:pStyle w:val="Compact"/>
              <w:spacing w:after="80"/>
              <w:jc w:val="right"/>
            </w:pPr>
            <w:r>
              <w:rPr>
                <w:sz w:val="18"/>
              </w:rPr>
              <w:t xml:space="preserve">57.83</w:t>
            </w:r>
          </w:p>
        </w:tc>
        <w:tc>
          <w:tcPr/>
          <w:p>
            <w:pPr>
              <w:pStyle w:val="Compact"/>
              <w:spacing w:after="80"/>
              <w:jc w:val="right"/>
            </w:pPr>
            <w:r>
              <w:rPr>
                <w:sz w:val="18"/>
              </w:rPr>
              <w:t xml:space="preserve">59.95</w:t>
            </w:r>
          </w:p>
        </w:tc>
        <w:tc>
          <w:tcPr/>
          <w:p>
            <w:pPr>
              <w:pStyle w:val="Compact"/>
              <w:spacing w:after="80"/>
              <w:jc w:val="right"/>
            </w:pPr>
            <w:r>
              <w:rPr>
                <w:sz w:val="18"/>
              </w:rPr>
              <w:t xml:space="preserve">63.01</w:t>
            </w:r>
          </w:p>
        </w:tc>
        <w:tc>
          <w:tcPr/>
          <w:p>
            <w:pPr>
              <w:pStyle w:val="Compact"/>
              <w:spacing w:after="80"/>
              <w:jc w:val="right"/>
            </w:pPr>
            <w:r>
              <w:rPr>
                <w:sz w:val="18"/>
              </w:rPr>
              <w:t xml:space="preserve">65.27</w:t>
            </w:r>
          </w:p>
        </w:tc>
        <w:tc>
          <w:tcPr/>
          <w:p>
            <w:pPr>
              <w:pStyle w:val="Compact"/>
              <w:spacing w:after="80"/>
              <w:jc w:val="right"/>
            </w:pPr>
            <w:r>
              <w:rPr>
                <w:sz w:val="18"/>
              </w:rPr>
              <w:t xml:space="preserve">61.71</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point</w:t>
            </w:r>
          </w:p>
        </w:tc>
        <w:tc>
          <w:tcPr/>
          <w:p>
            <w:pPr>
              <w:pStyle w:val="Compact"/>
              <w:spacing w:after="80"/>
              <w:jc w:val="right"/>
            </w:pPr>
            <w:r>
              <w:rPr>
                <w:sz w:val="18"/>
              </w:rPr>
              <w:t xml:space="preserve">58.67</w:t>
            </w:r>
          </w:p>
        </w:tc>
        <w:tc>
          <w:tcPr/>
          <w:p>
            <w:pPr>
              <w:pStyle w:val="Compact"/>
              <w:spacing w:after="80"/>
              <w:jc w:val="right"/>
            </w:pPr>
            <w:r>
              <w:rPr>
                <w:sz w:val="18"/>
              </w:rPr>
              <w:t xml:space="preserve">60.84</w:t>
            </w:r>
          </w:p>
        </w:tc>
        <w:tc>
          <w:tcPr/>
          <w:p>
            <w:pPr>
              <w:pStyle w:val="Compact"/>
              <w:spacing w:after="80"/>
              <w:jc w:val="right"/>
            </w:pPr>
            <w:r>
              <w:rPr>
                <w:sz w:val="18"/>
              </w:rPr>
              <w:t xml:space="preserve">63.84</w:t>
            </w:r>
          </w:p>
        </w:tc>
        <w:tc>
          <w:tcPr/>
          <w:p>
            <w:pPr>
              <w:pStyle w:val="Compact"/>
              <w:spacing w:after="80"/>
              <w:jc w:val="right"/>
            </w:pPr>
            <w:r>
              <w:rPr>
                <w:sz w:val="18"/>
              </w:rPr>
              <w:t xml:space="preserve">67.24</w:t>
            </w:r>
          </w:p>
        </w:tc>
        <w:tc>
          <w:tcPr/>
          <w:p>
            <w:pPr>
              <w:pStyle w:val="Compact"/>
              <w:spacing w:after="80"/>
              <w:jc w:val="right"/>
            </w:pPr>
            <w:r>
              <w:rPr>
                <w:sz w:val="18"/>
              </w:rPr>
              <w:t xml:space="preserve">66.52</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predictive</w:t>
            </w:r>
          </w:p>
        </w:tc>
        <w:tc>
          <w:tcPr/>
          <w:p>
            <w:pPr>
              <w:pStyle w:val="Compact"/>
              <w:spacing w:after="80"/>
              <w:jc w:val="right"/>
            </w:pPr>
            <w:r>
              <w:rPr>
                <w:sz w:val="18"/>
              </w:rPr>
              <w:t xml:space="preserve">59.11</w:t>
            </w:r>
          </w:p>
        </w:tc>
        <w:tc>
          <w:tcPr/>
          <w:p>
            <w:pPr>
              <w:pStyle w:val="Compact"/>
              <w:spacing w:after="80"/>
              <w:jc w:val="right"/>
            </w:pPr>
            <w:r>
              <w:rPr>
                <w:sz w:val="18"/>
              </w:rPr>
              <w:t xml:space="preserve">61.48</w:t>
            </w:r>
          </w:p>
        </w:tc>
        <w:tc>
          <w:tcPr/>
          <w:p>
            <w:pPr>
              <w:pStyle w:val="Compact"/>
              <w:spacing w:after="80"/>
              <w:jc w:val="right"/>
            </w:pPr>
            <w:r>
              <w:rPr>
                <w:sz w:val="18"/>
              </w:rPr>
              <w:t xml:space="preserve">63.92</w:t>
            </w:r>
          </w:p>
        </w:tc>
        <w:tc>
          <w:tcPr/>
          <w:p>
            <w:pPr>
              <w:pStyle w:val="Compact"/>
              <w:spacing w:after="80"/>
              <w:jc w:val="right"/>
            </w:pPr>
            <w:r>
              <w:rPr>
                <w:sz w:val="18"/>
              </w:rPr>
              <w:t xml:space="preserve">66.63</w:t>
            </w:r>
          </w:p>
        </w:tc>
        <w:tc>
          <w:tcPr/>
          <w:p>
            <w:pPr>
              <w:pStyle w:val="Compact"/>
              <w:spacing w:after="80"/>
              <w:jc w:val="right"/>
            </w:pPr>
            <w:r>
              <w:rPr>
                <w:sz w:val="18"/>
              </w:rPr>
              <w:t xml:space="preserve">64.68</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Saved V2 EA-CSP</w:t>
            </w:r>
          </w:p>
        </w:tc>
        <w:tc>
          <w:tcPr/>
          <w:p>
            <w:pPr>
              <w:pStyle w:val="Compact"/>
              <w:spacing w:after="80"/>
              <w:jc w:val="right"/>
            </w:pPr>
            <w:r>
              <w:rPr>
                <w:sz w:val="18"/>
              </w:rPr>
              <w:t xml:space="preserve">66.79</w:t>
            </w:r>
          </w:p>
        </w:tc>
        <w:tc>
          <w:tcPr/>
          <w:p>
            <w:pPr>
              <w:pStyle w:val="Compact"/>
              <w:spacing w:after="80"/>
              <w:jc w:val="right"/>
            </w:pPr>
            <w:r>
              <w:rPr>
                <w:sz w:val="18"/>
              </w:rPr>
              <w:t xml:space="preserve">67.48</w:t>
            </w:r>
          </w:p>
        </w:tc>
        <w:tc>
          <w:tcPr/>
          <w:p>
            <w:pPr>
              <w:pStyle w:val="Compact"/>
              <w:spacing w:after="80"/>
              <w:jc w:val="right"/>
            </w:pPr>
            <w:r>
              <w:rPr>
                <w:sz w:val="18"/>
              </w:rPr>
              <w:t xml:space="preserve">67.71</w:t>
            </w:r>
          </w:p>
        </w:tc>
        <w:tc>
          <w:tcPr/>
          <w:p>
            <w:pPr>
              <w:pStyle w:val="Compact"/>
              <w:spacing w:after="80"/>
              <w:jc w:val="right"/>
            </w:pPr>
            <w:r>
              <w:rPr>
                <w:sz w:val="18"/>
              </w:rPr>
              <w:t xml:space="preserve">70.86</w:t>
            </w:r>
          </w:p>
        </w:tc>
        <w:tc>
          <w:tcPr/>
          <w:p>
            <w:pPr>
              <w:pStyle w:val="Compact"/>
              <w:spacing w:after="80"/>
              <w:jc w:val="right"/>
            </w:pPr>
            <w:r>
              <w:rPr>
                <w:sz w:val="18"/>
              </w:rPr>
              <w:t xml:space="preserve">70.37</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Frozen tangent</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Pooled means</w:t>
            </w:r>
          </w:p>
        </w:tc>
        <w:tc>
          <w:tcPr/>
          <w:p>
            <w:pPr>
              <w:pStyle w:val="Compact"/>
              <w:spacing w:after="80"/>
              <w:jc w:val="right"/>
            </w:pPr>
            <w:r>
              <w:rPr>
                <w:sz w:val="18"/>
              </w:rPr>
              <w:t xml:space="preserve">59.46</w:t>
            </w:r>
          </w:p>
        </w:tc>
        <w:tc>
          <w:tcPr/>
          <w:p>
            <w:pPr>
              <w:pStyle w:val="Compact"/>
              <w:spacing w:after="80"/>
              <w:jc w:val="right"/>
            </w:pPr>
            <w:r>
              <w:rPr>
                <w:sz w:val="18"/>
              </w:rPr>
              <w:t xml:space="preserve">59.73</w:t>
            </w:r>
          </w:p>
        </w:tc>
        <w:tc>
          <w:tcPr/>
          <w:p>
            <w:pPr>
              <w:pStyle w:val="Compact"/>
              <w:spacing w:after="80"/>
              <w:jc w:val="right"/>
            </w:pPr>
            <w:r>
              <w:rPr>
                <w:sz w:val="18"/>
              </w:rPr>
              <w:t xml:space="preserve">61.61</w:t>
            </w:r>
          </w:p>
        </w:tc>
        <w:tc>
          <w:tcPr/>
          <w:p>
            <w:pPr>
              <w:pStyle w:val="Compact"/>
              <w:spacing w:after="80"/>
              <w:jc w:val="right"/>
            </w:pPr>
            <w:r>
              <w:rPr>
                <w:sz w:val="18"/>
              </w:rPr>
              <w:t xml:space="preserve">64.46</w:t>
            </w:r>
          </w:p>
        </w:tc>
        <w:tc>
          <w:tcPr/>
          <w:p>
            <w:pPr>
              <w:pStyle w:val="Compact"/>
              <w:spacing w:after="80"/>
              <w:jc w:val="right"/>
            </w:pPr>
            <w:r>
              <w:rPr>
                <w:sz w:val="18"/>
              </w:rPr>
              <w:t xml:space="preserve">64.08</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Tangent refit</w:t>
            </w:r>
          </w:p>
        </w:tc>
        <w:tc>
          <w:tcPr/>
          <w:p>
            <w:pPr>
              <w:pStyle w:val="Compact"/>
              <w:spacing w:after="80"/>
              <w:jc w:val="right"/>
            </w:pPr>
            <w:r>
              <w:rPr>
                <w:sz w:val="18"/>
              </w:rPr>
              <w:t xml:space="preserve">63.50</w:t>
            </w:r>
          </w:p>
        </w:tc>
        <w:tc>
          <w:tcPr/>
          <w:p>
            <w:pPr>
              <w:pStyle w:val="Compact"/>
              <w:spacing w:after="80"/>
              <w:jc w:val="right"/>
            </w:pPr>
            <w:r>
              <w:rPr>
                <w:sz w:val="18"/>
              </w:rPr>
              <w:t xml:space="preserve">62.90</w:t>
            </w:r>
          </w:p>
        </w:tc>
        <w:tc>
          <w:tcPr/>
          <w:p>
            <w:pPr>
              <w:pStyle w:val="Compact"/>
              <w:spacing w:after="80"/>
              <w:jc w:val="right"/>
            </w:pPr>
            <w:r>
              <w:rPr>
                <w:sz w:val="18"/>
              </w:rPr>
              <w:t xml:space="preserve">66.19</w:t>
            </w:r>
          </w:p>
        </w:tc>
        <w:tc>
          <w:tcPr/>
          <w:p>
            <w:pPr>
              <w:pStyle w:val="Compact"/>
              <w:spacing w:after="80"/>
              <w:jc w:val="right"/>
            </w:pPr>
            <w:r>
              <w:rPr>
                <w:sz w:val="18"/>
              </w:rPr>
              <w:t xml:space="preserve">66.97</w:t>
            </w:r>
          </w:p>
        </w:tc>
        <w:tc>
          <w:tcPr/>
          <w:p>
            <w:pPr>
              <w:pStyle w:val="Compact"/>
              <w:spacing w:after="80"/>
              <w:jc w:val="right"/>
            </w:pPr>
            <w:r>
              <w:rPr>
                <w:sz w:val="18"/>
              </w:rPr>
              <w:t xml:space="preserve">67.01</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BN affine, fixed statistics</w:t>
            </w:r>
          </w:p>
        </w:tc>
        <w:tc>
          <w:tcPr/>
          <w:p>
            <w:pPr>
              <w:pStyle w:val="Compact"/>
              <w:spacing w:after="80"/>
              <w:jc w:val="right"/>
            </w:pPr>
            <w:r>
              <w:rPr>
                <w:sz w:val="18"/>
              </w:rPr>
              <w:t xml:space="preserve">55.23</w:t>
            </w:r>
          </w:p>
        </w:tc>
        <w:tc>
          <w:tcPr/>
          <w:p>
            <w:pPr>
              <w:pStyle w:val="Compact"/>
              <w:spacing w:after="80"/>
              <w:jc w:val="right"/>
            </w:pPr>
            <w:r>
              <w:rPr>
                <w:sz w:val="18"/>
              </w:rPr>
              <w:t xml:space="preserve">55.02</w:t>
            </w:r>
          </w:p>
        </w:tc>
        <w:tc>
          <w:tcPr/>
          <w:p>
            <w:pPr>
              <w:pStyle w:val="Compact"/>
              <w:spacing w:after="80"/>
              <w:jc w:val="right"/>
            </w:pPr>
            <w:r>
              <w:rPr>
                <w:sz w:val="18"/>
              </w:rPr>
              <w:t xml:space="preserve">55.39</w:t>
            </w:r>
          </w:p>
        </w:tc>
        <w:tc>
          <w:tcPr/>
          <w:p>
            <w:pPr>
              <w:pStyle w:val="Compact"/>
              <w:spacing w:after="80"/>
              <w:jc w:val="right"/>
            </w:pPr>
            <w:r>
              <w:rPr>
                <w:sz w:val="18"/>
              </w:rPr>
              <w:t xml:space="preserve">55.49</w:t>
            </w:r>
          </w:p>
        </w:tc>
        <w:tc>
          <w:tcPr/>
          <w:p>
            <w:pPr>
              <w:pStyle w:val="Compact"/>
              <w:spacing w:after="80"/>
              <w:jc w:val="right"/>
            </w:pPr>
            <w:r>
              <w:rPr>
                <w:sz w:val="18"/>
              </w:rPr>
              <w:t xml:space="preserve">55.46</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BN statistics only</w:t>
            </w:r>
          </w:p>
        </w:tc>
        <w:tc>
          <w:tcPr/>
          <w:p>
            <w:pPr>
              <w:pStyle w:val="Compact"/>
              <w:spacing w:after="80"/>
              <w:jc w:val="right"/>
            </w:pPr>
            <w:r>
              <w:rPr>
                <w:sz w:val="18"/>
              </w:rPr>
              <w:t xml:space="preserve">55.22</w:t>
            </w:r>
          </w:p>
        </w:tc>
        <w:tc>
          <w:tcPr/>
          <w:p>
            <w:pPr>
              <w:pStyle w:val="Compact"/>
              <w:spacing w:after="80"/>
              <w:jc w:val="right"/>
            </w:pPr>
            <w:r>
              <w:rPr>
                <w:sz w:val="18"/>
              </w:rPr>
              <w:t xml:space="preserve">55.24</w:t>
            </w:r>
          </w:p>
        </w:tc>
        <w:tc>
          <w:tcPr/>
          <w:p>
            <w:pPr>
              <w:pStyle w:val="Compact"/>
              <w:spacing w:after="80"/>
              <w:jc w:val="right"/>
            </w:pPr>
            <w:r>
              <w:rPr>
                <w:sz w:val="18"/>
              </w:rPr>
              <w:t xml:space="preserve">55.32</w:t>
            </w:r>
          </w:p>
        </w:tc>
        <w:tc>
          <w:tcPr/>
          <w:p>
            <w:pPr>
              <w:pStyle w:val="Compact"/>
              <w:spacing w:after="80"/>
              <w:jc w:val="right"/>
            </w:pPr>
            <w:r>
              <w:rPr>
                <w:sz w:val="18"/>
              </w:rPr>
              <w:t xml:space="preserve">55.29</w:t>
            </w:r>
          </w:p>
        </w:tc>
        <w:tc>
          <w:tcPr/>
          <w:p>
            <w:pPr>
              <w:pStyle w:val="Compact"/>
              <w:spacing w:after="80"/>
              <w:jc w:val="right"/>
            </w:pPr>
            <w:r>
              <w:rPr>
                <w:sz w:val="18"/>
              </w:rPr>
              <w:t xml:space="preserve">54.95</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Frozen</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adaptive BN</w:t>
            </w:r>
          </w:p>
        </w:tc>
        <w:tc>
          <w:tcPr/>
          <w:p>
            <w:pPr>
              <w:pStyle w:val="Compact"/>
              <w:spacing w:after="80"/>
              <w:jc w:val="right"/>
            </w:pPr>
            <w:r>
              <w:rPr>
                <w:sz w:val="18"/>
              </w:rPr>
              <w:t xml:space="preserve">55.27</w:t>
            </w:r>
          </w:p>
        </w:tc>
        <w:tc>
          <w:tcPr/>
          <w:p>
            <w:pPr>
              <w:pStyle w:val="Compact"/>
              <w:spacing w:after="80"/>
              <w:jc w:val="right"/>
            </w:pPr>
            <w:r>
              <w:rPr>
                <w:sz w:val="18"/>
              </w:rPr>
              <w:t xml:space="preserve">55.61</w:t>
            </w:r>
          </w:p>
        </w:tc>
        <w:tc>
          <w:tcPr/>
          <w:p>
            <w:pPr>
              <w:pStyle w:val="Compact"/>
              <w:spacing w:after="80"/>
              <w:jc w:val="right"/>
            </w:pPr>
            <w:r>
              <w:rPr>
                <w:sz w:val="18"/>
              </w:rPr>
              <w:t xml:space="preserve">55.41</w:t>
            </w:r>
          </w:p>
        </w:tc>
        <w:tc>
          <w:tcPr/>
          <w:p>
            <w:pPr>
              <w:pStyle w:val="Compact"/>
              <w:spacing w:after="80"/>
              <w:jc w:val="right"/>
            </w:pPr>
            <w:r>
              <w:rPr>
                <w:sz w:val="18"/>
              </w:rPr>
              <w:t xml:space="preserve">55.34</w:t>
            </w:r>
          </w:p>
        </w:tc>
        <w:tc>
          <w:tcPr/>
          <w:p>
            <w:pPr>
              <w:pStyle w:val="Compact"/>
              <w:spacing w:after="80"/>
              <w:jc w:val="right"/>
            </w:pPr>
            <w:r>
              <w:rPr>
                <w:sz w:val="18"/>
              </w:rPr>
              <w:t xml:space="preserve">54.31</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adaptive BN + Dropout</w:t>
            </w:r>
          </w:p>
        </w:tc>
        <w:tc>
          <w:tcPr/>
          <w:p>
            <w:pPr>
              <w:pStyle w:val="Compact"/>
              <w:spacing w:after="80"/>
              <w:jc w:val="right"/>
            </w:pPr>
            <w:r>
              <w:rPr>
                <w:sz w:val="18"/>
              </w:rPr>
              <w:t xml:space="preserve">55.28</w:t>
            </w:r>
          </w:p>
        </w:tc>
        <w:tc>
          <w:tcPr/>
          <w:p>
            <w:pPr>
              <w:pStyle w:val="Compact"/>
              <w:spacing w:after="80"/>
              <w:jc w:val="right"/>
            </w:pPr>
            <w:r>
              <w:rPr>
                <w:sz w:val="18"/>
              </w:rPr>
              <w:t xml:space="preserve">55.61</w:t>
            </w:r>
          </w:p>
        </w:tc>
        <w:tc>
          <w:tcPr/>
          <w:p>
            <w:pPr>
              <w:pStyle w:val="Compact"/>
              <w:spacing w:after="80"/>
              <w:jc w:val="right"/>
            </w:pPr>
            <w:r>
              <w:rPr>
                <w:sz w:val="18"/>
              </w:rPr>
              <w:t xml:space="preserve">55.39</w:t>
            </w:r>
          </w:p>
        </w:tc>
        <w:tc>
          <w:tcPr/>
          <w:p>
            <w:pPr>
              <w:pStyle w:val="Compact"/>
              <w:spacing w:after="80"/>
              <w:jc w:val="right"/>
            </w:pPr>
            <w:r>
              <w:rPr>
                <w:sz w:val="18"/>
              </w:rPr>
              <w:t xml:space="preserve">55.41</w:t>
            </w:r>
          </w:p>
        </w:tc>
        <w:tc>
          <w:tcPr/>
          <w:p>
            <w:pPr>
              <w:pStyle w:val="Compact"/>
              <w:spacing w:after="80"/>
              <w:jc w:val="right"/>
            </w:pPr>
            <w:r>
              <w:rPr>
                <w:sz w:val="18"/>
              </w:rPr>
              <w:t xml:space="preserve">54.59</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fixed BN</w:t>
            </w:r>
          </w:p>
        </w:tc>
        <w:tc>
          <w:tcPr/>
          <w:p>
            <w:pPr>
              <w:pStyle w:val="Compact"/>
              <w:spacing w:after="80"/>
              <w:jc w:val="right"/>
            </w:pPr>
            <w:r>
              <w:rPr>
                <w:sz w:val="18"/>
              </w:rPr>
              <w:t xml:space="preserve">56.02</w:t>
            </w:r>
          </w:p>
        </w:tc>
        <w:tc>
          <w:tcPr/>
          <w:p>
            <w:pPr>
              <w:pStyle w:val="Compact"/>
              <w:spacing w:after="80"/>
              <w:jc w:val="right"/>
            </w:pPr>
            <w:r>
              <w:rPr>
                <w:sz w:val="18"/>
              </w:rPr>
              <w:t xml:space="preserve">55.61</w:t>
            </w:r>
          </w:p>
        </w:tc>
        <w:tc>
          <w:tcPr/>
          <w:p>
            <w:pPr>
              <w:pStyle w:val="Compact"/>
              <w:spacing w:after="80"/>
              <w:jc w:val="right"/>
            </w:pPr>
            <w:r>
              <w:rPr>
                <w:sz w:val="18"/>
              </w:rPr>
              <w:t xml:space="preserve">55.90</w:t>
            </w:r>
          </w:p>
        </w:tc>
        <w:tc>
          <w:tcPr/>
          <w:p>
            <w:pPr>
              <w:pStyle w:val="Compact"/>
              <w:spacing w:after="80"/>
              <w:jc w:val="right"/>
            </w:pPr>
            <w:r>
              <w:rPr>
                <w:sz w:val="18"/>
              </w:rPr>
              <w:t xml:space="preserve">56.66</w:t>
            </w:r>
          </w:p>
        </w:tc>
        <w:tc>
          <w:tcPr/>
          <w:p>
            <w:pPr>
              <w:pStyle w:val="Compact"/>
              <w:spacing w:after="80"/>
              <w:jc w:val="right"/>
            </w:pPr>
            <w:r>
              <w:rPr>
                <w:sz w:val="18"/>
              </w:rPr>
              <w:t xml:space="preserve">56.22</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Head only, fixed BN</w:t>
            </w:r>
          </w:p>
        </w:tc>
        <w:tc>
          <w:tcPr/>
          <w:p>
            <w:pPr>
              <w:pStyle w:val="Compact"/>
              <w:spacing w:after="80"/>
              <w:jc w:val="right"/>
            </w:pPr>
            <w:r>
              <w:rPr>
                <w:sz w:val="18"/>
              </w:rPr>
              <w:t xml:space="preserve">55.48</w:t>
            </w:r>
          </w:p>
        </w:tc>
        <w:tc>
          <w:tcPr/>
          <w:p>
            <w:pPr>
              <w:pStyle w:val="Compact"/>
              <w:spacing w:after="80"/>
              <w:jc w:val="right"/>
            </w:pPr>
            <w:r>
              <w:rPr>
                <w:sz w:val="18"/>
              </w:rPr>
              <w:t xml:space="preserve">55.41</w:t>
            </w:r>
          </w:p>
        </w:tc>
        <w:tc>
          <w:tcPr/>
          <w:p>
            <w:pPr>
              <w:pStyle w:val="Compact"/>
              <w:spacing w:after="80"/>
              <w:jc w:val="right"/>
            </w:pPr>
            <w:r>
              <w:rPr>
                <w:sz w:val="18"/>
              </w:rPr>
              <w:t xml:space="preserve">55.57</w:t>
            </w:r>
          </w:p>
        </w:tc>
        <w:tc>
          <w:tcPr/>
          <w:p>
            <w:pPr>
              <w:pStyle w:val="Compact"/>
              <w:spacing w:after="80"/>
              <w:jc w:val="right"/>
            </w:pPr>
            <w:r>
              <w:rPr>
                <w:sz w:val="18"/>
              </w:rPr>
              <w:t xml:space="preserve">55.74</w:t>
            </w:r>
          </w:p>
        </w:tc>
        <w:tc>
          <w:tcPr/>
          <w:p>
            <w:pPr>
              <w:pStyle w:val="Compact"/>
              <w:spacing w:after="80"/>
              <w:jc w:val="right"/>
            </w:pPr>
            <w:r>
              <w:rPr>
                <w:sz w:val="18"/>
              </w:rPr>
              <w:t xml:space="preserve">55.54</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56.02</w:t>
            </w:r>
          </w:p>
        </w:tc>
        <w:tc>
          <w:tcPr/>
          <w:p>
            <w:pPr>
              <w:pStyle w:val="Compact"/>
              <w:spacing w:after="80"/>
              <w:jc w:val="right"/>
            </w:pPr>
            <w:r>
              <w:rPr>
                <w:sz w:val="18"/>
              </w:rPr>
              <w:t xml:space="preserve">55.61</w:t>
            </w:r>
          </w:p>
        </w:tc>
        <w:tc>
          <w:tcPr/>
          <w:p>
            <w:pPr>
              <w:pStyle w:val="Compact"/>
              <w:spacing w:after="80"/>
              <w:jc w:val="right"/>
            </w:pPr>
            <w:r>
              <w:rPr>
                <w:sz w:val="18"/>
              </w:rPr>
              <w:t xml:space="preserve">55.87</w:t>
            </w:r>
          </w:p>
        </w:tc>
        <w:tc>
          <w:tcPr/>
          <w:p>
            <w:pPr>
              <w:pStyle w:val="Compact"/>
              <w:spacing w:after="80"/>
              <w:jc w:val="right"/>
            </w:pPr>
            <w:r>
              <w:rPr>
                <w:sz w:val="18"/>
              </w:rPr>
              <w:t xml:space="preserve">56.66</w:t>
            </w:r>
          </w:p>
        </w:tc>
        <w:tc>
          <w:tcPr/>
          <w:p>
            <w:pPr>
              <w:pStyle w:val="Compact"/>
              <w:spacing w:after="80"/>
              <w:jc w:val="right"/>
            </w:pPr>
            <w:r>
              <w:rPr>
                <w:sz w:val="18"/>
              </w:rPr>
              <w:t xml:space="preserve">56.25</w:t>
            </w:r>
          </w:p>
        </w:tc>
      </w:tr>
      <w:tr>
        <w:tc>
          <w:tcPr/>
          <w:p>
            <w:pPr>
              <w:pStyle w:val="Compact"/>
              <w:spacing w:after="80"/>
              <w:jc w:val="left"/>
            </w:pPr>
            <w:r>
              <w:rPr>
                <w:sz w:val="18"/>
              </w:rPr>
              <w:t xml:space="preserve">Neural / pooled / KL 0.001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55.77</w:t>
            </w:r>
          </w:p>
        </w:tc>
        <w:tc>
          <w:tcPr/>
          <w:p>
            <w:pPr>
              <w:pStyle w:val="Compact"/>
              <w:spacing w:after="80"/>
              <w:jc w:val="right"/>
            </w:pPr>
            <w:r>
              <w:rPr>
                <w:sz w:val="18"/>
              </w:rPr>
              <w:t xml:space="preserve">55.25</w:t>
            </w:r>
          </w:p>
        </w:tc>
        <w:tc>
          <w:tcPr/>
          <w:p>
            <w:pPr>
              <w:pStyle w:val="Compact"/>
              <w:spacing w:after="80"/>
              <w:jc w:val="right"/>
            </w:pPr>
            <w:r>
              <w:rPr>
                <w:sz w:val="18"/>
              </w:rPr>
              <w:t xml:space="preserve">55.64</w:t>
            </w:r>
          </w:p>
        </w:tc>
        <w:tc>
          <w:tcPr/>
          <w:p>
            <w:pPr>
              <w:pStyle w:val="Compact"/>
              <w:spacing w:after="80"/>
              <w:jc w:val="right"/>
            </w:pPr>
            <w:r>
              <w:rPr>
                <w:sz w:val="18"/>
              </w:rPr>
              <w:t xml:space="preserve">56.45</w:t>
            </w:r>
          </w:p>
        </w:tc>
        <w:tc>
          <w:tcPr/>
          <w:p>
            <w:pPr>
              <w:pStyle w:val="Compact"/>
              <w:spacing w:after="80"/>
              <w:jc w:val="right"/>
            </w:pPr>
            <w:r>
              <w:rPr>
                <w:sz w:val="18"/>
              </w:rPr>
              <w:t xml:space="preserve">56.03</w:t>
            </w:r>
          </w:p>
        </w:tc>
      </w:tr>
      <w:tr>
        <w:tc>
          <w:tcPr/>
          <w:p>
            <w:pPr>
              <w:pStyle w:val="Compact"/>
              <w:spacing w:after="80"/>
              <w:jc w:val="left"/>
            </w:pPr>
            <w:r>
              <w:rPr>
                <w:sz w:val="18"/>
              </w:rPr>
              <w:t xml:space="preserve">Neural / pooled / KL 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56.02</w:t>
            </w:r>
          </w:p>
        </w:tc>
        <w:tc>
          <w:tcPr/>
          <w:p>
            <w:pPr>
              <w:pStyle w:val="Compact"/>
              <w:spacing w:after="80"/>
              <w:jc w:val="right"/>
            </w:pPr>
            <w:r>
              <w:rPr>
                <w:sz w:val="18"/>
              </w:rPr>
              <w:t xml:space="preserve">55.61</w:t>
            </w:r>
          </w:p>
        </w:tc>
        <w:tc>
          <w:tcPr/>
          <w:p>
            <w:pPr>
              <w:pStyle w:val="Compact"/>
              <w:spacing w:after="80"/>
              <w:jc w:val="right"/>
            </w:pPr>
            <w:r>
              <w:rPr>
                <w:sz w:val="18"/>
              </w:rPr>
              <w:t xml:space="preserve">55.90</w:t>
            </w:r>
          </w:p>
        </w:tc>
        <w:tc>
          <w:tcPr/>
          <w:p>
            <w:pPr>
              <w:pStyle w:val="Compact"/>
              <w:spacing w:after="80"/>
              <w:jc w:val="right"/>
            </w:pPr>
            <w:r>
              <w:rPr>
                <w:sz w:val="18"/>
              </w:rPr>
              <w:t xml:space="preserve">56.66</w:t>
            </w:r>
          </w:p>
        </w:tc>
        <w:tc>
          <w:tcPr/>
          <w:p>
            <w:pPr>
              <w:pStyle w:val="Compact"/>
              <w:spacing w:after="80"/>
              <w:jc w:val="right"/>
            </w:pPr>
            <w:r>
              <w:rPr>
                <w:sz w:val="18"/>
              </w:rPr>
              <w:t xml:space="preserve">56.22</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BN affine, fixed statistics</w:t>
            </w:r>
          </w:p>
        </w:tc>
        <w:tc>
          <w:tcPr/>
          <w:p>
            <w:pPr>
              <w:pStyle w:val="Compact"/>
              <w:spacing w:after="80"/>
              <w:jc w:val="right"/>
            </w:pPr>
            <w:r>
              <w:rPr>
                <w:sz w:val="18"/>
              </w:rPr>
              <w:t xml:space="preserve">56.73</w:t>
            </w:r>
          </w:p>
        </w:tc>
        <w:tc>
          <w:tcPr/>
          <w:p>
            <w:pPr>
              <w:pStyle w:val="Compact"/>
              <w:spacing w:after="80"/>
              <w:jc w:val="right"/>
            </w:pPr>
            <w:r>
              <w:rPr>
                <w:sz w:val="18"/>
              </w:rPr>
              <w:t xml:space="preserve">56.73</w:t>
            </w:r>
          </w:p>
        </w:tc>
        <w:tc>
          <w:tcPr/>
          <w:p>
            <w:pPr>
              <w:pStyle w:val="Compact"/>
              <w:spacing w:after="80"/>
              <w:jc w:val="right"/>
            </w:pPr>
            <w:r>
              <w:rPr>
                <w:sz w:val="18"/>
              </w:rPr>
              <w:t xml:space="preserve">56.76</w:t>
            </w:r>
          </w:p>
        </w:tc>
        <w:tc>
          <w:tcPr/>
          <w:p>
            <w:pPr>
              <w:pStyle w:val="Compact"/>
              <w:spacing w:after="80"/>
              <w:jc w:val="right"/>
            </w:pPr>
            <w:r>
              <w:rPr>
                <w:sz w:val="18"/>
              </w:rPr>
              <w:t xml:space="preserve">57.11</w:t>
            </w:r>
          </w:p>
        </w:tc>
        <w:tc>
          <w:tcPr/>
          <w:p>
            <w:pPr>
              <w:pStyle w:val="Compact"/>
              <w:spacing w:after="80"/>
              <w:jc w:val="right"/>
            </w:pPr>
            <w:r>
              <w:rPr>
                <w:sz w:val="18"/>
              </w:rPr>
              <w:t xml:space="preserve">57.04</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BN statistics only</w:t>
            </w:r>
          </w:p>
        </w:tc>
        <w:tc>
          <w:tcPr/>
          <w:p>
            <w:pPr>
              <w:pStyle w:val="Compact"/>
              <w:spacing w:after="80"/>
              <w:jc w:val="right"/>
            </w:pPr>
            <w:r>
              <w:rPr>
                <w:sz w:val="18"/>
              </w:rPr>
              <w:t xml:space="preserve">56.73</w:t>
            </w:r>
          </w:p>
        </w:tc>
        <w:tc>
          <w:tcPr/>
          <w:p>
            <w:pPr>
              <w:pStyle w:val="Compact"/>
              <w:spacing w:after="80"/>
              <w:jc w:val="right"/>
            </w:pPr>
            <w:r>
              <w:rPr>
                <w:sz w:val="18"/>
              </w:rPr>
              <w:t xml:space="preserve">56.73</w:t>
            </w:r>
          </w:p>
        </w:tc>
        <w:tc>
          <w:tcPr/>
          <w:p>
            <w:pPr>
              <w:pStyle w:val="Compact"/>
              <w:spacing w:after="80"/>
              <w:jc w:val="right"/>
            </w:pPr>
            <w:r>
              <w:rPr>
                <w:sz w:val="18"/>
              </w:rPr>
              <w:t xml:space="preserve">56.71</w:t>
            </w:r>
          </w:p>
        </w:tc>
        <w:tc>
          <w:tcPr/>
          <w:p>
            <w:pPr>
              <w:pStyle w:val="Compact"/>
              <w:spacing w:after="80"/>
              <w:jc w:val="right"/>
            </w:pPr>
            <w:r>
              <w:rPr>
                <w:sz w:val="18"/>
              </w:rPr>
              <w:t xml:space="preserve">56.73</w:t>
            </w:r>
          </w:p>
        </w:tc>
        <w:tc>
          <w:tcPr/>
          <w:p>
            <w:pPr>
              <w:pStyle w:val="Compact"/>
              <w:spacing w:after="80"/>
              <w:jc w:val="right"/>
            </w:pPr>
            <w:r>
              <w:rPr>
                <w:sz w:val="18"/>
              </w:rPr>
              <w:t xml:space="preserve">55.59</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Frozen</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adaptive BN</w:t>
            </w:r>
          </w:p>
        </w:tc>
        <w:tc>
          <w:tcPr/>
          <w:p>
            <w:pPr>
              <w:pStyle w:val="Compact"/>
              <w:spacing w:after="80"/>
              <w:jc w:val="right"/>
            </w:pPr>
            <w:r>
              <w:rPr>
                <w:sz w:val="18"/>
              </w:rPr>
              <w:t xml:space="preserve">57.08</w:t>
            </w:r>
          </w:p>
        </w:tc>
        <w:tc>
          <w:tcPr/>
          <w:p>
            <w:pPr>
              <w:pStyle w:val="Compact"/>
              <w:spacing w:after="80"/>
              <w:jc w:val="right"/>
            </w:pPr>
            <w:r>
              <w:rPr>
                <w:sz w:val="18"/>
              </w:rPr>
              <w:t xml:space="preserve">57.11</w:t>
            </w:r>
          </w:p>
        </w:tc>
        <w:tc>
          <w:tcPr/>
          <w:p>
            <w:pPr>
              <w:pStyle w:val="Compact"/>
              <w:spacing w:after="80"/>
              <w:jc w:val="right"/>
            </w:pPr>
            <w:r>
              <w:rPr>
                <w:sz w:val="18"/>
              </w:rPr>
              <w:t xml:space="preserve">57.26</w:t>
            </w:r>
          </w:p>
        </w:tc>
        <w:tc>
          <w:tcPr/>
          <w:p>
            <w:pPr>
              <w:pStyle w:val="Compact"/>
              <w:spacing w:after="80"/>
              <w:jc w:val="right"/>
            </w:pPr>
            <w:r>
              <w:rPr>
                <w:sz w:val="18"/>
              </w:rPr>
              <w:t xml:space="preserve">57.54</w:t>
            </w:r>
          </w:p>
        </w:tc>
        <w:tc>
          <w:tcPr/>
          <w:p>
            <w:pPr>
              <w:pStyle w:val="Compact"/>
              <w:spacing w:after="80"/>
              <w:jc w:val="right"/>
            </w:pPr>
            <w:r>
              <w:rPr>
                <w:sz w:val="18"/>
              </w:rPr>
              <w:t xml:space="preserve">56.01</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adaptive BN + Dropout</w:t>
            </w:r>
          </w:p>
        </w:tc>
        <w:tc>
          <w:tcPr/>
          <w:p>
            <w:pPr>
              <w:pStyle w:val="Compact"/>
              <w:spacing w:after="80"/>
              <w:jc w:val="right"/>
            </w:pPr>
            <w:r>
              <w:rPr>
                <w:sz w:val="18"/>
              </w:rPr>
              <w:t xml:space="preserve">57.25</w:t>
            </w:r>
          </w:p>
        </w:tc>
        <w:tc>
          <w:tcPr/>
          <w:p>
            <w:pPr>
              <w:pStyle w:val="Compact"/>
              <w:spacing w:after="80"/>
              <w:jc w:val="right"/>
            </w:pPr>
            <w:r>
              <w:rPr>
                <w:sz w:val="18"/>
              </w:rPr>
              <w:t xml:space="preserve">57.18</w:t>
            </w:r>
          </w:p>
        </w:tc>
        <w:tc>
          <w:tcPr/>
          <w:p>
            <w:pPr>
              <w:pStyle w:val="Compact"/>
              <w:spacing w:after="80"/>
              <w:jc w:val="right"/>
            </w:pPr>
            <w:r>
              <w:rPr>
                <w:sz w:val="18"/>
              </w:rPr>
              <w:t xml:space="preserve">57.16</w:t>
            </w:r>
          </w:p>
        </w:tc>
        <w:tc>
          <w:tcPr/>
          <w:p>
            <w:pPr>
              <w:pStyle w:val="Compact"/>
              <w:spacing w:after="80"/>
              <w:jc w:val="right"/>
            </w:pPr>
            <w:r>
              <w:rPr>
                <w:sz w:val="18"/>
              </w:rPr>
              <w:t xml:space="preserve">57.43</w:t>
            </w:r>
          </w:p>
        </w:tc>
        <w:tc>
          <w:tcPr/>
          <w:p>
            <w:pPr>
              <w:pStyle w:val="Compact"/>
              <w:spacing w:after="80"/>
              <w:jc w:val="right"/>
            </w:pPr>
            <w:r>
              <w:rPr>
                <w:sz w:val="18"/>
              </w:rPr>
              <w:t xml:space="preserve">55.86</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fixed BN</w:t>
            </w:r>
          </w:p>
        </w:tc>
        <w:tc>
          <w:tcPr/>
          <w:p>
            <w:pPr>
              <w:pStyle w:val="Compact"/>
              <w:spacing w:after="80"/>
              <w:jc w:val="right"/>
            </w:pPr>
            <w:r>
              <w:rPr>
                <w:sz w:val="18"/>
              </w:rPr>
              <w:t xml:space="preserve">56.90</w:t>
            </w:r>
          </w:p>
        </w:tc>
        <w:tc>
          <w:tcPr/>
          <w:p>
            <w:pPr>
              <w:pStyle w:val="Compact"/>
              <w:spacing w:after="80"/>
              <w:jc w:val="right"/>
            </w:pPr>
            <w:r>
              <w:rPr>
                <w:sz w:val="18"/>
              </w:rPr>
              <w:t xml:space="preserve">56.77</w:t>
            </w:r>
          </w:p>
        </w:tc>
        <w:tc>
          <w:tcPr/>
          <w:p>
            <w:pPr>
              <w:pStyle w:val="Compact"/>
              <w:spacing w:after="80"/>
              <w:jc w:val="right"/>
            </w:pPr>
            <w:r>
              <w:rPr>
                <w:sz w:val="18"/>
              </w:rPr>
              <w:t xml:space="preserve">56.80</w:t>
            </w:r>
          </w:p>
        </w:tc>
        <w:tc>
          <w:tcPr/>
          <w:p>
            <w:pPr>
              <w:pStyle w:val="Compact"/>
              <w:spacing w:after="80"/>
              <w:jc w:val="right"/>
            </w:pPr>
            <w:r>
              <w:rPr>
                <w:sz w:val="18"/>
              </w:rPr>
              <w:t xml:space="preserve">57.50</w:t>
            </w:r>
          </w:p>
        </w:tc>
        <w:tc>
          <w:tcPr/>
          <w:p>
            <w:pPr>
              <w:pStyle w:val="Compact"/>
              <w:spacing w:after="80"/>
              <w:jc w:val="right"/>
            </w:pPr>
            <w:r>
              <w:rPr>
                <w:sz w:val="18"/>
              </w:rPr>
              <w:t xml:space="preserve">57.51</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Head only, fixed BN</w:t>
            </w:r>
          </w:p>
        </w:tc>
        <w:tc>
          <w:tcPr/>
          <w:p>
            <w:pPr>
              <w:pStyle w:val="Compact"/>
              <w:spacing w:after="80"/>
              <w:jc w:val="right"/>
            </w:pPr>
            <w:r>
              <w:rPr>
                <w:sz w:val="18"/>
              </w:rPr>
              <w:t xml:space="preserve">56.39</w:t>
            </w:r>
          </w:p>
        </w:tc>
        <w:tc>
          <w:tcPr/>
          <w:p>
            <w:pPr>
              <w:pStyle w:val="Compact"/>
              <w:spacing w:after="80"/>
              <w:jc w:val="right"/>
            </w:pPr>
            <w:r>
              <w:rPr>
                <w:sz w:val="18"/>
              </w:rPr>
              <w:t xml:space="preserve">56.45</w:t>
            </w:r>
          </w:p>
        </w:tc>
        <w:tc>
          <w:tcPr/>
          <w:p>
            <w:pPr>
              <w:pStyle w:val="Compact"/>
              <w:spacing w:after="80"/>
              <w:jc w:val="right"/>
            </w:pPr>
            <w:r>
              <w:rPr>
                <w:sz w:val="18"/>
              </w:rPr>
              <w:t xml:space="preserve">56.84</w:t>
            </w:r>
          </w:p>
        </w:tc>
        <w:tc>
          <w:tcPr/>
          <w:p>
            <w:pPr>
              <w:pStyle w:val="Compact"/>
              <w:spacing w:after="80"/>
              <w:jc w:val="right"/>
            </w:pPr>
            <w:r>
              <w:rPr>
                <w:sz w:val="18"/>
              </w:rPr>
              <w:t xml:space="preserve">56.88</w:t>
            </w:r>
          </w:p>
        </w:tc>
        <w:tc>
          <w:tcPr/>
          <w:p>
            <w:pPr>
              <w:pStyle w:val="Compact"/>
              <w:spacing w:after="80"/>
              <w:jc w:val="right"/>
            </w:pPr>
            <w:r>
              <w:rPr>
                <w:sz w:val="18"/>
              </w:rPr>
              <w:t xml:space="preserve">56.81</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56.91</w:t>
            </w:r>
          </w:p>
        </w:tc>
        <w:tc>
          <w:tcPr/>
          <w:p>
            <w:pPr>
              <w:pStyle w:val="Compact"/>
              <w:spacing w:after="80"/>
              <w:jc w:val="right"/>
            </w:pPr>
            <w:r>
              <w:rPr>
                <w:sz w:val="18"/>
              </w:rPr>
              <w:t xml:space="preserve">56.83</w:t>
            </w:r>
          </w:p>
        </w:tc>
        <w:tc>
          <w:tcPr/>
          <w:p>
            <w:pPr>
              <w:pStyle w:val="Compact"/>
              <w:spacing w:after="80"/>
              <w:jc w:val="right"/>
            </w:pPr>
            <w:r>
              <w:rPr>
                <w:sz w:val="18"/>
              </w:rPr>
              <w:t xml:space="preserve">56.87</w:t>
            </w:r>
          </w:p>
        </w:tc>
        <w:tc>
          <w:tcPr/>
          <w:p>
            <w:pPr>
              <w:pStyle w:val="Compact"/>
              <w:spacing w:after="80"/>
              <w:jc w:val="right"/>
            </w:pPr>
            <w:r>
              <w:rPr>
                <w:sz w:val="18"/>
              </w:rPr>
              <w:t xml:space="preserve">57.50</w:t>
            </w:r>
          </w:p>
        </w:tc>
        <w:tc>
          <w:tcPr/>
          <w:p>
            <w:pPr>
              <w:pStyle w:val="Compact"/>
              <w:spacing w:after="80"/>
              <w:jc w:val="right"/>
            </w:pPr>
            <w:r>
              <w:rPr>
                <w:sz w:val="18"/>
              </w:rPr>
              <w:t xml:space="preserve">57.50</w:t>
            </w:r>
          </w:p>
        </w:tc>
      </w:tr>
      <w:tr>
        <w:tc>
          <w:tcPr/>
          <w:p>
            <w:pPr>
              <w:pStyle w:val="Compact"/>
              <w:spacing w:after="80"/>
              <w:jc w:val="left"/>
            </w:pPr>
            <w:r>
              <w:rPr>
                <w:sz w:val="18"/>
              </w:rPr>
              <w:t xml:space="preserve">Neural / individual / KL 0.001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56.64</w:t>
            </w:r>
          </w:p>
        </w:tc>
        <w:tc>
          <w:tcPr/>
          <w:p>
            <w:pPr>
              <w:pStyle w:val="Compact"/>
              <w:spacing w:after="80"/>
              <w:jc w:val="right"/>
            </w:pPr>
            <w:r>
              <w:rPr>
                <w:sz w:val="18"/>
              </w:rPr>
              <w:t xml:space="preserve">56.68</w:t>
            </w:r>
          </w:p>
        </w:tc>
        <w:tc>
          <w:tcPr/>
          <w:p>
            <w:pPr>
              <w:pStyle w:val="Compact"/>
              <w:spacing w:after="80"/>
              <w:jc w:val="right"/>
            </w:pPr>
            <w:r>
              <w:rPr>
                <w:sz w:val="18"/>
              </w:rPr>
              <w:t xml:space="preserve">56.83</w:t>
            </w:r>
          </w:p>
        </w:tc>
        <w:tc>
          <w:tcPr/>
          <w:p>
            <w:pPr>
              <w:pStyle w:val="Compact"/>
              <w:spacing w:after="80"/>
              <w:jc w:val="right"/>
            </w:pPr>
            <w:r>
              <w:rPr>
                <w:sz w:val="18"/>
              </w:rPr>
              <w:t xml:space="preserve">57.32</w:t>
            </w:r>
          </w:p>
        </w:tc>
        <w:tc>
          <w:tcPr/>
          <w:p>
            <w:pPr>
              <w:pStyle w:val="Compact"/>
              <w:spacing w:after="80"/>
              <w:jc w:val="right"/>
            </w:pPr>
            <w:r>
              <w:rPr>
                <w:sz w:val="18"/>
              </w:rPr>
              <w:t xml:space="preserve">57.29</w:t>
            </w:r>
          </w:p>
        </w:tc>
      </w:tr>
      <w:tr>
        <w:tc>
          <w:tcPr/>
          <w:p>
            <w:pPr>
              <w:pStyle w:val="Compact"/>
              <w:spacing w:after="80"/>
              <w:jc w:val="left"/>
            </w:pPr>
            <w:r>
              <w:rPr>
                <w:sz w:val="18"/>
              </w:rPr>
              <w:t xml:space="preserve">Neural / individual / KL 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56.90</w:t>
            </w:r>
          </w:p>
        </w:tc>
        <w:tc>
          <w:tcPr/>
          <w:p>
            <w:pPr>
              <w:pStyle w:val="Compact"/>
              <w:spacing w:after="80"/>
              <w:jc w:val="right"/>
            </w:pPr>
            <w:r>
              <w:rPr>
                <w:sz w:val="18"/>
              </w:rPr>
              <w:t xml:space="preserve">56.77</w:t>
            </w:r>
          </w:p>
        </w:tc>
        <w:tc>
          <w:tcPr/>
          <w:p>
            <w:pPr>
              <w:pStyle w:val="Compact"/>
              <w:spacing w:after="80"/>
              <w:jc w:val="right"/>
            </w:pPr>
            <w:r>
              <w:rPr>
                <w:sz w:val="18"/>
              </w:rPr>
              <w:t xml:space="preserve">56.80</w:t>
            </w:r>
          </w:p>
        </w:tc>
        <w:tc>
          <w:tcPr/>
          <w:p>
            <w:pPr>
              <w:pStyle w:val="Compact"/>
              <w:spacing w:after="80"/>
              <w:jc w:val="right"/>
            </w:pPr>
            <w:r>
              <w:rPr>
                <w:sz w:val="18"/>
              </w:rPr>
              <w:t xml:space="preserve">57.50</w:t>
            </w:r>
          </w:p>
        </w:tc>
        <w:tc>
          <w:tcPr/>
          <w:p>
            <w:pPr>
              <w:pStyle w:val="Compact"/>
              <w:spacing w:after="80"/>
              <w:jc w:val="right"/>
            </w:pPr>
            <w:r>
              <w:rPr>
                <w:sz w:val="18"/>
              </w:rPr>
              <w:t xml:space="preserve">57.51</w:t>
            </w:r>
          </w:p>
        </w:tc>
      </w:tr>
    </w:tbl>
    <w:p>
      <w:pPr>
        <w:pStyle w:val="BodyText"/>
      </w:pPr>
      <w:r>
        <w:t xml:space="preserve">All paired participant differences, pointwise intervals, negative-participant counts and reference-role labels are retained in the companion comparison table. The full primary geometric and neural outcomes appear in the main text; this table supplies the complete budget context.</w:t>
      </w:r>
    </w:p>
    <w:bookmarkEnd w:id="33"/>
    <w:bookmarkStart w:id="34" w:name="Xec6ec004bffbc864029bcc7327abfa43dd2d023"/>
    <w:p>
      <w:pPr>
        <w:pStyle w:val="Heading2"/>
      </w:pPr>
      <w:r>
        <w:rPr>
          <w:color w:val="000000"/>
        </w:rPr>
        <w:t xml:space="preserve">S 11. Complete-grid synthetic method summary</w:t>
      </w:r>
    </w:p>
    <w:p>
      <w:pPr>
        <w:pStyle w:val="FirstParagraph"/>
      </w:pPr>
      <w:r>
        <w:t xml:space="preserve">These means give every frozen scenario and paired draw equal weight. Probability scoring uses the saved simulation definitions; these numerical scales apply to the synthetic generator.</w:t>
      </w:r>
    </w:p>
    <w:tbl>
      <w:tblPr>
        <w:tblStyle w:val="Table"/>
        <w:tblW w:type="pct" w:w="5000"/>
        <w:jc w:val="left"/>
        <w:tblLayout w:type="autofit"/>
        <w:tblLook w:firstRow="1" w:lastRow="0" w:firstColumn="0" w:lastColumn="0" w:noHBand="0" w:noVBand="0" w:val="0020"/>
      </w:tblPr>
      <w:tblGrid>
        <w:gridCol w:w="1250"/>
        <w:gridCol w:w="1667"/>
        <w:gridCol w:w="1667"/>
        <w:gridCol w:w="1667"/>
        <w:gridCol w:w="1667"/>
      </w:tblGrid>
      <w:tr>
        <w:trPr>
          <w:tblHeader w:val="on"/>
        </w:trPr>
        <w:tc>
          <w:tcPr/>
          <w:p>
            <w:pPr>
              <w:pStyle w:val="Compact"/>
              <w:spacing w:after="80"/>
              <w:jc w:val="left"/>
            </w:pPr>
            <w:r>
              <w:rPr>
                <w:b/>
                <w:sz w:val="18"/>
              </w:rPr>
              <w:t xml:space="preserve">Method</w:t>
            </w:r>
          </w:p>
        </w:tc>
        <w:tc>
          <w:tcPr/>
          <w:p>
            <w:pPr>
              <w:pStyle w:val="Compact"/>
              <w:spacing w:after="80"/>
              <w:jc w:val="right"/>
            </w:pPr>
            <w:r>
              <w:rPr>
                <w:b/>
                <w:sz w:val="18"/>
              </w:rPr>
              <w:t xml:space="preserve">BA (%)</w:t>
            </w:r>
          </w:p>
        </w:tc>
        <w:tc>
          <w:tcPr/>
          <w:p>
            <w:pPr>
              <w:pStyle w:val="Compact"/>
              <w:spacing w:after="80"/>
              <w:jc w:val="right"/>
            </w:pPr>
            <w:r>
              <w:rPr>
                <w:b/>
                <w:sz w:val="18"/>
              </w:rPr>
              <w:t xml:space="preserve">Cross entropy</w:t>
            </w:r>
          </w:p>
        </w:tc>
        <w:tc>
          <w:tcPr/>
          <w:p>
            <w:pPr>
              <w:pStyle w:val="Compact"/>
              <w:spacing w:after="80"/>
              <w:jc w:val="right"/>
            </w:pPr>
            <w:r>
              <w:rPr>
                <w:b/>
                <w:sz w:val="18"/>
              </w:rPr>
              <w:t xml:space="preserve">Binary Brier</w:t>
            </w:r>
          </w:p>
        </w:tc>
        <w:tc>
          <w:tcPr/>
          <w:p>
            <w:pPr>
              <w:pStyle w:val="Compact"/>
              <w:spacing w:after="80"/>
              <w:jc w:val="right"/>
            </w:pPr>
            <w:r>
              <w:rPr>
                <w:b/>
                <w:sz w:val="18"/>
              </w:rPr>
              <w:t xml:space="preserve">Mean squared feature error</w:t>
            </w:r>
          </w:p>
        </w:tc>
      </w:tr>
      <w:tr>
        <w:tc>
          <w:tcPr/>
          <w:p>
            <w:pPr>
              <w:pStyle w:val="Compact"/>
              <w:spacing w:after="80"/>
              <w:jc w:val="left"/>
            </w:pPr>
            <w:r>
              <w:rPr>
                <w:sz w:val="18"/>
              </w:rPr>
              <w:t xml:space="preserve">source_tangent_frozen</w:t>
            </w:r>
          </w:p>
        </w:tc>
        <w:tc>
          <w:tcPr/>
          <w:p>
            <w:pPr>
              <w:pStyle w:val="Compact"/>
              <w:spacing w:after="80"/>
              <w:jc w:val="right"/>
            </w:pPr>
            <w:r>
              <w:rPr>
                <w:sz w:val="18"/>
              </w:rPr>
              <w:t xml:space="preserve">74.31</w:t>
            </w:r>
          </w:p>
        </w:tc>
        <w:tc>
          <w:tcPr/>
          <w:p>
            <w:pPr>
              <w:pStyle w:val="Compact"/>
              <w:spacing w:after="80"/>
              <w:jc w:val="right"/>
            </w:pPr>
            <w:r>
              <w:rPr>
                <w:sz w:val="18"/>
              </w:rPr>
              <w:t xml:space="preserve">2.9701</w:t>
            </w:r>
          </w:p>
        </w:tc>
        <w:tc>
          <w:tcPr/>
          <w:p>
            <w:pPr>
              <w:pStyle w:val="Compact"/>
              <w:spacing w:after="80"/>
              <w:jc w:val="right"/>
            </w:pPr>
            <w:r>
              <w:rPr>
                <w:sz w:val="18"/>
              </w:rPr>
              <w:t xml:space="preserve">0.2276</w:t>
            </w:r>
          </w:p>
        </w:tc>
        <w:tc>
          <w:tcPr/>
          <w:p>
            <w:pPr>
              <w:pStyle w:val="Compact"/>
              <w:spacing w:after="80"/>
              <w:jc w:val="right"/>
            </w:pPr>
            <w:r>
              <w:rPr>
                <w:sz w:val="18"/>
              </w:rPr>
              <w:t xml:space="preserve">0.10815</w:t>
            </w:r>
          </w:p>
        </w:tc>
      </w:tr>
      <w:tr>
        <w:tc>
          <w:tcPr/>
          <w:p>
            <w:pPr>
              <w:pStyle w:val="Compact"/>
              <w:spacing w:after="80"/>
              <w:jc w:val="left"/>
            </w:pPr>
            <w:r>
              <w:rPr>
                <w:sz w:val="18"/>
              </w:rPr>
              <w:t xml:space="preserve">tangent_pooled</w:t>
            </w:r>
          </w:p>
        </w:tc>
        <w:tc>
          <w:tcPr/>
          <w:p>
            <w:pPr>
              <w:pStyle w:val="Compact"/>
              <w:spacing w:after="80"/>
              <w:jc w:val="right"/>
            </w:pPr>
            <w:r>
              <w:rPr>
                <w:sz w:val="18"/>
              </w:rPr>
              <w:t xml:space="preserve">75.72</w:t>
            </w:r>
          </w:p>
        </w:tc>
        <w:tc>
          <w:tcPr/>
          <w:p>
            <w:pPr>
              <w:pStyle w:val="Compact"/>
              <w:spacing w:after="80"/>
              <w:jc w:val="right"/>
            </w:pPr>
            <w:r>
              <w:rPr>
                <w:sz w:val="18"/>
              </w:rPr>
              <w:t xml:space="preserve">2.5729</w:t>
            </w:r>
          </w:p>
        </w:tc>
        <w:tc>
          <w:tcPr/>
          <w:p>
            <w:pPr>
              <w:pStyle w:val="Compact"/>
              <w:spacing w:after="80"/>
              <w:jc w:val="right"/>
            </w:pPr>
            <w:r>
              <w:rPr>
                <w:sz w:val="18"/>
              </w:rPr>
              <w:t xml:space="preserve">0.2134</w:t>
            </w:r>
          </w:p>
        </w:tc>
        <w:tc>
          <w:tcPr/>
          <w:p>
            <w:pPr>
              <w:pStyle w:val="Compact"/>
              <w:spacing w:after="80"/>
              <w:jc w:val="right"/>
            </w:pPr>
            <w:r>
              <w:rPr>
                <w:sz w:val="18"/>
              </w:rPr>
              <w:t xml:space="preserve">0.08115</w:t>
            </w:r>
          </w:p>
        </w:tc>
      </w:tr>
      <w:tr>
        <w:tc>
          <w:tcPr/>
          <w:p>
            <w:pPr>
              <w:pStyle w:val="Compact"/>
              <w:spacing w:after="80"/>
              <w:jc w:val="left"/>
            </w:pPr>
            <w:r>
              <w:rPr>
                <w:sz w:val="18"/>
              </w:rPr>
              <w:t xml:space="preserve">tangent_refit</w:t>
            </w:r>
          </w:p>
        </w:tc>
        <w:tc>
          <w:tcPr/>
          <w:p>
            <w:pPr>
              <w:pStyle w:val="Compact"/>
              <w:spacing w:after="80"/>
              <w:jc w:val="right"/>
            </w:pPr>
            <w:r>
              <w:rPr>
                <w:sz w:val="18"/>
              </w:rPr>
              <w:t xml:space="preserve">76.19</w:t>
            </w:r>
          </w:p>
        </w:tc>
        <w:tc>
          <w:tcPr/>
          <w:p>
            <w:pPr>
              <w:pStyle w:val="Compact"/>
              <w:spacing w:after="80"/>
              <w:jc w:val="right"/>
            </w:pPr>
            <w:r>
              <w:rPr>
                <w:sz w:val="18"/>
              </w:rPr>
              <w:t xml:space="preserve">2.2408</w:t>
            </w:r>
          </w:p>
        </w:tc>
        <w:tc>
          <w:tcPr/>
          <w:p>
            <w:pPr>
              <w:pStyle w:val="Compact"/>
              <w:spacing w:after="80"/>
              <w:jc w:val="right"/>
            </w:pPr>
            <w:r>
              <w:rPr>
                <w:sz w:val="18"/>
              </w:rPr>
              <w:t xml:space="preserve">0.2064</w:t>
            </w:r>
          </w:p>
        </w:tc>
        <w:tc>
          <w:tcPr/>
          <w:p>
            <w:pPr>
              <w:pStyle w:val="Compact"/>
              <w:spacing w:after="80"/>
              <w:jc w:val="right"/>
            </w:pPr>
            <w:r>
              <w:rPr>
                <w:sz w:val="18"/>
              </w:rPr>
              <w:t xml:space="preserve">0.08115</w:t>
            </w:r>
          </w:p>
        </w:tc>
      </w:tr>
      <w:tr>
        <w:tc>
          <w:tcPr/>
          <w:p>
            <w:pPr>
              <w:pStyle w:val="Compact"/>
              <w:spacing w:after="80"/>
              <w:jc w:val="left"/>
            </w:pPr>
            <w:r>
              <w:rPr>
                <w:sz w:val="18"/>
              </w:rPr>
              <w:t xml:space="preserve">eb_point</w:t>
            </w:r>
          </w:p>
        </w:tc>
        <w:tc>
          <w:tcPr/>
          <w:p>
            <w:pPr>
              <w:pStyle w:val="Compact"/>
              <w:spacing w:after="80"/>
              <w:jc w:val="right"/>
            </w:pPr>
            <w:r>
              <w:rPr>
                <w:sz w:val="18"/>
              </w:rPr>
              <w:t xml:space="preserve">70.40</w:t>
            </w:r>
          </w:p>
        </w:tc>
        <w:tc>
          <w:tcPr/>
          <w:p>
            <w:pPr>
              <w:pStyle w:val="Compact"/>
              <w:spacing w:after="80"/>
              <w:jc w:val="right"/>
            </w:pPr>
            <w:r>
              <w:rPr>
                <w:sz w:val="18"/>
              </w:rPr>
              <w:t xml:space="preserve">3.9747</w:t>
            </w:r>
          </w:p>
        </w:tc>
        <w:tc>
          <w:tcPr/>
          <w:p>
            <w:pPr>
              <w:pStyle w:val="Compact"/>
              <w:spacing w:after="80"/>
              <w:jc w:val="right"/>
            </w:pPr>
            <w:r>
              <w:rPr>
                <w:sz w:val="18"/>
              </w:rPr>
              <w:t xml:space="preserve">0.2688</w:t>
            </w:r>
          </w:p>
        </w:tc>
        <w:tc>
          <w:tcPr/>
          <w:p>
            <w:pPr>
              <w:pStyle w:val="Compact"/>
              <w:spacing w:after="80"/>
              <w:jc w:val="right"/>
            </w:pPr>
            <w:r>
              <w:rPr>
                <w:sz w:val="18"/>
              </w:rPr>
              <w:t xml:space="preserve">0.26669</w:t>
            </w:r>
          </w:p>
        </w:tc>
      </w:tr>
      <w:tr>
        <w:tc>
          <w:tcPr/>
          <w:p>
            <w:pPr>
              <w:pStyle w:val="Compact"/>
              <w:spacing w:after="80"/>
              <w:jc w:val="left"/>
            </w:pPr>
            <w:r>
              <w:rPr>
                <w:sz w:val="18"/>
              </w:rPr>
              <w:t xml:space="preserve">eb_predictive</w:t>
            </w:r>
          </w:p>
        </w:tc>
        <w:tc>
          <w:tcPr/>
          <w:p>
            <w:pPr>
              <w:pStyle w:val="Compact"/>
              <w:spacing w:after="80"/>
              <w:jc w:val="right"/>
            </w:pPr>
            <w:r>
              <w:rPr>
                <w:sz w:val="18"/>
              </w:rPr>
              <w:t xml:space="preserve">70.36</w:t>
            </w:r>
          </w:p>
        </w:tc>
        <w:tc>
          <w:tcPr/>
          <w:p>
            <w:pPr>
              <w:pStyle w:val="Compact"/>
              <w:spacing w:after="80"/>
              <w:jc w:val="right"/>
            </w:pPr>
            <w:r>
              <w:rPr>
                <w:sz w:val="18"/>
              </w:rPr>
              <w:t xml:space="preserve">3.6337</w:t>
            </w:r>
          </w:p>
        </w:tc>
        <w:tc>
          <w:tcPr/>
          <w:p>
            <w:pPr>
              <w:pStyle w:val="Compact"/>
              <w:spacing w:after="80"/>
              <w:jc w:val="right"/>
            </w:pPr>
            <w:r>
              <w:rPr>
                <w:sz w:val="18"/>
              </w:rPr>
              <w:t xml:space="preserve">0.2669</w:t>
            </w:r>
          </w:p>
        </w:tc>
        <w:tc>
          <w:tcPr/>
          <w:p>
            <w:pPr>
              <w:pStyle w:val="Compact"/>
              <w:spacing w:after="80"/>
              <w:jc w:val="right"/>
            </w:pPr>
            <w:r>
              <w:rPr>
                <w:sz w:val="18"/>
              </w:rPr>
              <w:t xml:space="preserve">0.26669</w:t>
            </w:r>
          </w:p>
        </w:tc>
      </w:tr>
      <w:tr>
        <w:tc>
          <w:tcPr/>
          <w:p>
            <w:pPr>
              <w:pStyle w:val="Compact"/>
              <w:spacing w:after="80"/>
              <w:jc w:val="left"/>
            </w:pPr>
            <w:r>
              <w:rPr>
                <w:sz w:val="18"/>
              </w:rPr>
              <w:t xml:space="preserve">eb_isotropic</w:t>
            </w:r>
          </w:p>
        </w:tc>
        <w:tc>
          <w:tcPr/>
          <w:p>
            <w:pPr>
              <w:pStyle w:val="Compact"/>
              <w:spacing w:after="80"/>
              <w:jc w:val="right"/>
            </w:pPr>
            <w:r>
              <w:rPr>
                <w:sz w:val="18"/>
              </w:rPr>
              <w:t xml:space="preserve">73.29</w:t>
            </w:r>
          </w:p>
        </w:tc>
        <w:tc>
          <w:tcPr/>
          <w:p>
            <w:pPr>
              <w:pStyle w:val="Compact"/>
              <w:spacing w:after="80"/>
              <w:jc w:val="right"/>
            </w:pPr>
            <w:r>
              <w:rPr>
                <w:sz w:val="18"/>
              </w:rPr>
              <w:t xml:space="preserve">2.0276</w:t>
            </w:r>
          </w:p>
        </w:tc>
        <w:tc>
          <w:tcPr/>
          <w:p>
            <w:pPr>
              <w:pStyle w:val="Compact"/>
              <w:spacing w:after="80"/>
              <w:jc w:val="right"/>
            </w:pPr>
            <w:r>
              <w:rPr>
                <w:sz w:val="18"/>
              </w:rPr>
              <w:t xml:space="preserve">0.2304</w:t>
            </w:r>
          </w:p>
        </w:tc>
        <w:tc>
          <w:tcPr/>
          <w:p>
            <w:pPr>
              <w:pStyle w:val="Compact"/>
              <w:spacing w:after="80"/>
              <w:jc w:val="right"/>
            </w:pPr>
            <w:r>
              <w:rPr>
                <w:sz w:val="18"/>
              </w:rPr>
              <w:t xml:space="preserve">0.16210</w:t>
            </w:r>
          </w:p>
        </w:tc>
      </w:tr>
      <w:tr>
        <w:tc>
          <w:tcPr/>
          <w:p>
            <w:pPr>
              <w:pStyle w:val="Compact"/>
              <w:spacing w:after="80"/>
              <w:jc w:val="left"/>
            </w:pPr>
            <w:r>
              <w:rPr>
                <w:sz w:val="18"/>
              </w:rPr>
              <w:t xml:space="preserve">eb_coupled</w:t>
            </w:r>
          </w:p>
        </w:tc>
        <w:tc>
          <w:tcPr/>
          <w:p>
            <w:pPr>
              <w:pStyle w:val="Compact"/>
              <w:spacing w:after="80"/>
              <w:jc w:val="right"/>
            </w:pPr>
            <w:r>
              <w:rPr>
                <w:sz w:val="18"/>
              </w:rPr>
              <w:t xml:space="preserve">70.58</w:t>
            </w:r>
          </w:p>
        </w:tc>
        <w:tc>
          <w:tcPr/>
          <w:p>
            <w:pPr>
              <w:pStyle w:val="Compact"/>
              <w:spacing w:after="80"/>
              <w:jc w:val="right"/>
            </w:pPr>
            <w:r>
              <w:rPr>
                <w:sz w:val="18"/>
              </w:rPr>
              <w:t xml:space="preserve">3.5845</w:t>
            </w:r>
          </w:p>
        </w:tc>
        <w:tc>
          <w:tcPr/>
          <w:p>
            <w:pPr>
              <w:pStyle w:val="Compact"/>
              <w:spacing w:after="80"/>
              <w:jc w:val="right"/>
            </w:pPr>
            <w:r>
              <w:rPr>
                <w:sz w:val="18"/>
              </w:rPr>
              <w:t xml:space="preserve">0.2646</w:t>
            </w:r>
          </w:p>
        </w:tc>
        <w:tc>
          <w:tcPr/>
          <w:p>
            <w:pPr>
              <w:pStyle w:val="Compact"/>
              <w:spacing w:after="80"/>
              <w:jc w:val="right"/>
            </w:pPr>
            <w:r>
              <w:rPr>
                <w:sz w:val="18"/>
              </w:rPr>
              <w:t xml:space="preserve">0.25179</w:t>
            </w:r>
          </w:p>
        </w:tc>
      </w:tr>
      <w:tr>
        <w:tc>
          <w:tcPr/>
          <w:p>
            <w:pPr>
              <w:pStyle w:val="Compact"/>
              <w:spacing w:after="80"/>
              <w:jc w:val="left"/>
            </w:pPr>
            <w:r>
              <w:rPr>
                <w:sz w:val="18"/>
              </w:rPr>
              <w:t xml:space="preserve">eb_no_source_noise</w:t>
            </w:r>
          </w:p>
        </w:tc>
        <w:tc>
          <w:tcPr/>
          <w:p>
            <w:pPr>
              <w:pStyle w:val="Compact"/>
              <w:spacing w:after="80"/>
              <w:jc w:val="right"/>
            </w:pPr>
            <w:r>
              <w:rPr>
                <w:sz w:val="18"/>
              </w:rPr>
              <w:t xml:space="preserve">70.28</w:t>
            </w:r>
          </w:p>
        </w:tc>
        <w:tc>
          <w:tcPr/>
          <w:p>
            <w:pPr>
              <w:pStyle w:val="Compact"/>
              <w:spacing w:after="80"/>
              <w:jc w:val="right"/>
            </w:pPr>
            <w:r>
              <w:rPr>
                <w:sz w:val="18"/>
              </w:rPr>
              <w:t xml:space="preserve">3.7042</w:t>
            </w:r>
          </w:p>
        </w:tc>
        <w:tc>
          <w:tcPr/>
          <w:p>
            <w:pPr>
              <w:pStyle w:val="Compact"/>
              <w:spacing w:after="80"/>
              <w:jc w:val="right"/>
            </w:pPr>
            <w:r>
              <w:rPr>
                <w:sz w:val="18"/>
              </w:rPr>
              <w:t xml:space="preserve">0.2681</w:t>
            </w:r>
          </w:p>
        </w:tc>
        <w:tc>
          <w:tcPr/>
          <w:p>
            <w:pPr>
              <w:pStyle w:val="Compact"/>
              <w:spacing w:after="80"/>
              <w:jc w:val="right"/>
            </w:pPr>
            <w:r>
              <w:rPr>
                <w:sz w:val="18"/>
              </w:rPr>
              <w:t xml:space="preserve">0.25980</w:t>
            </w:r>
          </w:p>
        </w:tc>
      </w:tr>
      <w:tr>
        <w:tc>
          <w:tcPr/>
          <w:p>
            <w:pPr>
              <w:pStyle w:val="Compact"/>
              <w:spacing w:after="80"/>
              <w:jc w:val="left"/>
            </w:pPr>
            <w:r>
              <w:rPr>
                <w:sz w:val="18"/>
              </w:rPr>
              <w:t xml:space="preserve">eb_no_shift</w:t>
            </w:r>
          </w:p>
        </w:tc>
        <w:tc>
          <w:tcPr/>
          <w:p>
            <w:pPr>
              <w:pStyle w:val="Compact"/>
              <w:spacing w:after="80"/>
              <w:jc w:val="right"/>
            </w:pPr>
            <w:r>
              <w:rPr>
                <w:sz w:val="18"/>
              </w:rPr>
              <w:t xml:space="preserve">74.87</w:t>
            </w:r>
          </w:p>
        </w:tc>
        <w:tc>
          <w:tcPr/>
          <w:p>
            <w:pPr>
              <w:pStyle w:val="Compact"/>
              <w:spacing w:after="80"/>
              <w:jc w:val="right"/>
            </w:pPr>
            <w:r>
              <w:rPr>
                <w:sz w:val="18"/>
              </w:rPr>
              <w:t xml:space="preserve">2.5946</w:t>
            </w:r>
          </w:p>
        </w:tc>
        <w:tc>
          <w:tcPr/>
          <w:p>
            <w:pPr>
              <w:pStyle w:val="Compact"/>
              <w:spacing w:after="80"/>
              <w:jc w:val="right"/>
            </w:pPr>
            <w:r>
              <w:rPr>
                <w:sz w:val="18"/>
              </w:rPr>
              <w:t xml:space="preserve">0.2210</w:t>
            </w:r>
          </w:p>
        </w:tc>
        <w:tc>
          <w:tcPr/>
          <w:p>
            <w:pPr>
              <w:pStyle w:val="Compact"/>
              <w:spacing w:after="80"/>
              <w:jc w:val="right"/>
            </w:pPr>
            <w:r>
              <w:rPr>
                <w:sz w:val="18"/>
              </w:rPr>
              <w:t xml:space="preserve">0.13010</w:t>
            </w:r>
          </w:p>
        </w:tc>
      </w:tr>
    </w:tbl>
    <w:p>
      <w:pPr>
        <w:pStyle w:val="BodyText"/>
      </w:pPr>
      <w:r>
        <w:t xml:space="preserve">The full candidate minus tangent refitting was −5.8255 BA points. Of 384 scenario means, eight favored the candidate and 376 favored refitting. Candidate feature-mean squared error was larger than refitting in every scenario mean. Posterior-predictive versus point candidate prediction changed mean cross entropy by −0.34094, Brier by −0.00191 and BA by −0.0398 percentage points. The contrasts separate probability scoring from classification and mean estimation.</w:t>
      </w:r>
    </w:p>
    <w:bookmarkEnd w:id="34"/>
    <w:bookmarkStart w:id="39" w:name="X81a1d3b384eb3f2d889122fe949c314ac1b3c3a"/>
    <w:p>
      <w:pPr>
        <w:pStyle w:val="Heading2"/>
      </w:pPr>
      <w:r>
        <w:rPr>
          <w:color w:val="000000"/>
        </w:rPr>
        <w:t xml:space="preserve">S 12. External component comparison with a fixed calibration budget</w:t>
      </w:r>
    </w:p>
    <w:bookmarkStart w:id="35" w:name="dataset-events-and-information-access"/>
    <w:p>
      <w:pPr>
        <w:pStyle w:val="Heading3"/>
      </w:pPr>
      <w:r>
        <w:rPr>
          <w:color w:val="000000"/>
        </w:rPr>
        <w:t xml:space="preserve">Dataset, events and information access</w:t>
      </w:r>
    </w:p>
    <w:p>
      <w:pPr>
        <w:pStyle w:val="FirstParagraph"/>
      </w:pPr>
      <w:r>
        <w:t xml:space="preserve">BNCI2014-001/BCI Competition IV 2a contains nine participants, each recorded on two different days. The reviewed original publication and six-page protocol describe six MI runs/session, with 48 four-class trials per run. The released original MAT files have all class labels; only left/right labels 1/2 were mapped to 0/1. Their</w:t>
      </w:r>
      <w:r>
        <w:t xml:space="preserve"> </w:t>
      </w:r>
      <w:r>
        <w:rPr>
          <w:rStyle w:val="VerbatimChar"/>
        </w:rPr>
        <w:t xml:space="preserve">classes</w:t>
      </w:r>
      <w:r>
        <w:t xml:space="preserve"> </w:t>
      </w:r>
      <w:r>
        <w:t xml:space="preserve">arrays were explicitly checked. The initial EOG calibration objects have no MI trial indices and were excluded from MI-run numbering.</w:t>
      </w:r>
    </w:p>
    <w:p>
      <w:pPr>
        <w:pStyle w:val="BodyText"/>
      </w:pPr>
      <w:r>
        <w:t xml:space="preserve">The one-based MAT</w:t>
      </w:r>
      <w:r>
        <w:t xml:space="preserve"> </w:t>
      </w:r>
      <w:r>
        <w:rPr>
          <w:rStyle w:val="VerbatimChar"/>
        </w:rPr>
        <w:t xml:space="preserve">trial</w:t>
      </w:r>
      <w:r>
        <w:t xml:space="preserve"> </w:t>
      </w:r>
      <w:r>
        <w:t xml:space="preserve">field marks trial start. Cue onset is 500 samples later at 250 Hz. Epochs contain samples</w:t>
      </w:r>
      <w:r>
        <w:t xml:space="preserve"> </w:t>
      </w:r>
      <w:r>
        <w:rPr>
          <w:rStyle w:val="VerbatimChar"/>
        </w:rPr>
        <w:t xml:space="preserve">trial−1+500 : trial−1+1500</w:t>
      </w:r>
      <w:r>
        <w:t xml:space="preserve">, or cue [0,4) seconds, following the source MI instruction. Processing retains the recorded reference and first 22 EEG channels, excludes EOG, converts microvolts to volts, and applies fourth-order Butterworth 8–30 Hz SOS zero-phase filtering within each continuous run. No query-dependent normalization is fitted.</w:t>
      </w:r>
    </w:p>
    <w:p>
      <w:pPr>
        <w:pStyle w:val="BodyText"/>
      </w:pPr>
      <w:r>
        <w:t xml:space="preserve">T runs 1–4 provide 96 source examples (48/class); T run 5 is unused and T run 6 is retained as an unused 24-trial source-query partition. E run 1 supplies its first 20 hand trials as support; four remaining hand trials are excluded. E runs 2–6 supply 120 query examples (60/class), with 24 per run. Support retains chronological class imbalance rather than selecting balanced labels. All 576 original four-class records per person retain sample boundaries, original artifact flags, identities and exclusion reasons.</w:t>
      </w:r>
    </w:p>
    <w:p>
      <w:pPr>
        <w:pStyle w:val="BodyText"/>
      </w:pPr>
      <w:r>
        <w:t xml:space="preserve">LDA-only, Full CSP/LDA and EA-CSP use identical 116 source/support trials; Frozen uses 96 source labels and zero target labels. EA has separate source/support covariance references and never estimates a reference from query signals. Four-component CSP and covariance/LDA shrinkage 0.1 use the existing V2 NumPy implementation. This differs from the original Kumar MNE/Ledoit–Wolf model and 40-example source setting; the between-dataset result cannot isolate acquisition from implementation and source-budget differences.</w:t>
      </w:r>
    </w:p>
    <w:bookmarkEnd w:id="35"/>
    <w:bookmarkStart w:id="36" w:name="complete-results"/>
    <w:p>
      <w:pPr>
        <w:pStyle w:val="Heading3"/>
      </w:pPr>
      <w:r>
        <w:rPr>
          <w:color w:val="000000"/>
        </w:rPr>
        <w:t xml:space="preserve">Complete results</w:t>
      </w:r>
    </w:p>
    <w:p>
      <w:pPr>
        <w:pStyle w:val="FirstParagraph"/>
      </w:pPr>
      <w:r>
        <w:t xml:space="preserve">BA values are percentages. Differences are percentage points; participants, not four-method or run rows, are the independent units.</w:t>
      </w:r>
    </w:p>
    <w:tbl>
      <w:tblPr>
        <w:tblStyle w:val="Table"/>
        <w:tblW w:type="pct" w:w="5000"/>
        <w:jc w:val="left"/>
        <w:tblLayout w:type="autofit"/>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spacing w:after="80"/>
              <w:jc w:val="left"/>
            </w:pPr>
            <w:r>
              <w:rPr>
                <w:b/>
                <w:sz w:val="18"/>
              </w:rPr>
              <w:t xml:space="preserve">Participant</w:t>
            </w:r>
          </w:p>
        </w:tc>
        <w:tc>
          <w:tcPr/>
          <w:p>
            <w:pPr>
              <w:pStyle w:val="Compact"/>
              <w:spacing w:after="80"/>
              <w:jc w:val="right"/>
            </w:pPr>
            <w:r>
              <w:rPr>
                <w:b/>
                <w:sz w:val="18"/>
              </w:rPr>
              <w:t xml:space="preserve">Frozen</w:t>
            </w:r>
          </w:p>
        </w:tc>
        <w:tc>
          <w:tcPr/>
          <w:p>
            <w:pPr>
              <w:pStyle w:val="Compact"/>
              <w:spacing w:after="80"/>
              <w:jc w:val="right"/>
            </w:pPr>
            <w:r>
              <w:rPr>
                <w:b/>
                <w:sz w:val="18"/>
              </w:rPr>
              <w:t xml:space="preserve">LDA-only</w:t>
            </w:r>
          </w:p>
        </w:tc>
        <w:tc>
          <w:tcPr/>
          <w:p>
            <w:pPr>
              <w:pStyle w:val="Compact"/>
              <w:spacing w:after="80"/>
              <w:jc w:val="right"/>
            </w:pPr>
            <w:r>
              <w:rPr>
                <w:b/>
                <w:sz w:val="18"/>
              </w:rPr>
              <w:t xml:space="preserve">Full CSP/LDA</w:t>
            </w:r>
          </w:p>
        </w:tc>
        <w:tc>
          <w:tcPr/>
          <w:p>
            <w:pPr>
              <w:pStyle w:val="Compact"/>
              <w:spacing w:after="80"/>
              <w:jc w:val="right"/>
            </w:pPr>
            <w:r>
              <w:rPr>
                <w:b/>
                <w:sz w:val="18"/>
              </w:rPr>
              <w:t xml:space="preserve">EA-CSP</w:t>
            </w:r>
          </w:p>
        </w:tc>
        <w:tc>
          <w:tcPr/>
          <w:p>
            <w:pPr>
              <w:pStyle w:val="Compact"/>
              <w:spacing w:after="80"/>
              <w:jc w:val="right"/>
            </w:pPr>
            <w:r>
              <w:rPr>
                <w:b/>
                <w:sz w:val="18"/>
              </w:rPr>
              <w:t xml:space="preserve">Full − LDA</w:t>
            </w:r>
          </w:p>
        </w:tc>
        <w:tc>
          <w:tcPr/>
          <w:p>
            <w:pPr>
              <w:pStyle w:val="Compact"/>
              <w:spacing w:after="80"/>
              <w:jc w:val="right"/>
            </w:pPr>
            <w:r>
              <w:rPr>
                <w:b/>
                <w:sz w:val="18"/>
              </w:rPr>
              <w:t xml:space="preserve">EA − Full</w:t>
            </w:r>
          </w:p>
        </w:tc>
      </w:tr>
      <w:tr>
        <w:tc>
          <w:tcPr/>
          <w:p>
            <w:pPr>
              <w:pStyle w:val="Compact"/>
              <w:spacing w:after="80"/>
              <w:jc w:val="left"/>
            </w:pPr>
            <w:r>
              <w:rPr>
                <w:sz w:val="18"/>
              </w:rPr>
              <w:t xml:space="preserve">1</w:t>
            </w:r>
          </w:p>
        </w:tc>
        <w:tc>
          <w:tcPr/>
          <w:p>
            <w:pPr>
              <w:pStyle w:val="Compact"/>
              <w:spacing w:after="80"/>
              <w:jc w:val="right"/>
            </w:pPr>
            <w:r>
              <w:rPr>
                <w:sz w:val="18"/>
              </w:rPr>
              <w:t xml:space="preserve">87.50</w:t>
            </w:r>
          </w:p>
        </w:tc>
        <w:tc>
          <w:tcPr/>
          <w:p>
            <w:pPr>
              <w:pStyle w:val="Compact"/>
              <w:spacing w:after="80"/>
              <w:jc w:val="right"/>
            </w:pPr>
            <w:r>
              <w:rPr>
                <w:sz w:val="18"/>
              </w:rPr>
              <w:t xml:space="preserve">85.00</w:t>
            </w:r>
          </w:p>
        </w:tc>
        <w:tc>
          <w:tcPr/>
          <w:p>
            <w:pPr>
              <w:pStyle w:val="Compact"/>
              <w:spacing w:after="80"/>
              <w:jc w:val="right"/>
            </w:pPr>
            <w:r>
              <w:rPr>
                <w:sz w:val="18"/>
              </w:rPr>
              <w:t xml:space="preserve">84.17</w:t>
            </w:r>
          </w:p>
        </w:tc>
        <w:tc>
          <w:tcPr/>
          <w:p>
            <w:pPr>
              <w:pStyle w:val="Compact"/>
              <w:spacing w:after="80"/>
              <w:jc w:val="right"/>
            </w:pPr>
            <w:r>
              <w:rPr>
                <w:sz w:val="18"/>
              </w:rPr>
              <w:t xml:space="preserve">90.00</w:t>
            </w:r>
          </w:p>
        </w:tc>
        <w:tc>
          <w:tcPr/>
          <w:p>
            <w:pPr>
              <w:pStyle w:val="Compact"/>
              <w:spacing w:after="80"/>
              <w:jc w:val="right"/>
            </w:pPr>
            <w:r>
              <w:rPr>
                <w:sz w:val="18"/>
              </w:rPr>
              <w:t xml:space="preserve">-0.83</w:t>
            </w:r>
          </w:p>
        </w:tc>
        <w:tc>
          <w:tcPr/>
          <w:p>
            <w:pPr>
              <w:pStyle w:val="Compact"/>
              <w:spacing w:after="80"/>
              <w:jc w:val="right"/>
            </w:pPr>
            <w:r>
              <w:rPr>
                <w:sz w:val="18"/>
              </w:rPr>
              <w:t xml:space="preserve">+5.83</w:t>
            </w:r>
          </w:p>
        </w:tc>
      </w:tr>
      <w:tr>
        <w:tc>
          <w:tcPr/>
          <w:p>
            <w:pPr>
              <w:pStyle w:val="Compact"/>
              <w:spacing w:after="80"/>
              <w:jc w:val="left"/>
            </w:pPr>
            <w:r>
              <w:rPr>
                <w:sz w:val="18"/>
              </w:rPr>
              <w:t xml:space="preserve">2</w:t>
            </w:r>
          </w:p>
        </w:tc>
        <w:tc>
          <w:tcPr/>
          <w:p>
            <w:pPr>
              <w:pStyle w:val="Compact"/>
              <w:spacing w:after="80"/>
              <w:jc w:val="right"/>
            </w:pPr>
            <w:r>
              <w:rPr>
                <w:sz w:val="18"/>
              </w:rPr>
              <w:t xml:space="preserve">49.17</w:t>
            </w:r>
          </w:p>
        </w:tc>
        <w:tc>
          <w:tcPr/>
          <w:p>
            <w:pPr>
              <w:pStyle w:val="Compact"/>
              <w:spacing w:after="80"/>
              <w:jc w:val="right"/>
            </w:pPr>
            <w:r>
              <w:rPr>
                <w:sz w:val="18"/>
              </w:rPr>
              <w:t xml:space="preserve">49.17</w:t>
            </w:r>
          </w:p>
        </w:tc>
        <w:tc>
          <w:tcPr/>
          <w:p>
            <w:pPr>
              <w:pStyle w:val="Compact"/>
              <w:spacing w:after="80"/>
              <w:jc w:val="right"/>
            </w:pPr>
            <w:r>
              <w:rPr>
                <w:sz w:val="18"/>
              </w:rPr>
              <w:t xml:space="preserve">54.17</w:t>
            </w:r>
          </w:p>
        </w:tc>
        <w:tc>
          <w:tcPr/>
          <w:p>
            <w:pPr>
              <w:pStyle w:val="Compact"/>
              <w:spacing w:after="80"/>
              <w:jc w:val="right"/>
            </w:pPr>
            <w:r>
              <w:rPr>
                <w:sz w:val="18"/>
              </w:rPr>
              <w:t xml:space="preserve">56.67</w:t>
            </w:r>
          </w:p>
        </w:tc>
        <w:tc>
          <w:tcPr/>
          <w:p>
            <w:pPr>
              <w:pStyle w:val="Compact"/>
              <w:spacing w:after="80"/>
              <w:jc w:val="right"/>
            </w:pPr>
            <w:r>
              <w:rPr>
                <w:sz w:val="18"/>
              </w:rPr>
              <w:t xml:space="preserve">+5.00</w:t>
            </w:r>
          </w:p>
        </w:tc>
        <w:tc>
          <w:tcPr/>
          <w:p>
            <w:pPr>
              <w:pStyle w:val="Compact"/>
              <w:spacing w:after="80"/>
              <w:jc w:val="right"/>
            </w:pPr>
            <w:r>
              <w:rPr>
                <w:sz w:val="18"/>
              </w:rPr>
              <w:t xml:space="preserve">+2.50</w:t>
            </w:r>
          </w:p>
        </w:tc>
      </w:tr>
      <w:tr>
        <w:tc>
          <w:tcPr/>
          <w:p>
            <w:pPr>
              <w:pStyle w:val="Compact"/>
              <w:spacing w:after="80"/>
              <w:jc w:val="left"/>
            </w:pPr>
            <w:r>
              <w:rPr>
                <w:sz w:val="18"/>
              </w:rPr>
              <w:t xml:space="preserve">3</w:t>
            </w:r>
          </w:p>
        </w:tc>
        <w:tc>
          <w:tcPr/>
          <w:p>
            <w:pPr>
              <w:pStyle w:val="Compact"/>
              <w:spacing w:after="80"/>
              <w:jc w:val="right"/>
            </w:pPr>
            <w:r>
              <w:rPr>
                <w:sz w:val="18"/>
              </w:rPr>
              <w:t xml:space="preserve">88.33</w:t>
            </w:r>
          </w:p>
        </w:tc>
        <w:tc>
          <w:tcPr/>
          <w:p>
            <w:pPr>
              <w:pStyle w:val="Compact"/>
              <w:spacing w:after="80"/>
              <w:jc w:val="right"/>
            </w:pPr>
            <w:r>
              <w:rPr>
                <w:sz w:val="18"/>
              </w:rPr>
              <w:t xml:space="preserve">90.00</w:t>
            </w:r>
          </w:p>
        </w:tc>
        <w:tc>
          <w:tcPr/>
          <w:p>
            <w:pPr>
              <w:pStyle w:val="Compact"/>
              <w:spacing w:after="80"/>
              <w:jc w:val="right"/>
            </w:pPr>
            <w:r>
              <w:rPr>
                <w:sz w:val="18"/>
              </w:rPr>
              <w:t xml:space="preserve">90.00</w:t>
            </w:r>
          </w:p>
        </w:tc>
        <w:tc>
          <w:tcPr/>
          <w:p>
            <w:pPr>
              <w:pStyle w:val="Compact"/>
              <w:spacing w:after="80"/>
              <w:jc w:val="right"/>
            </w:pPr>
            <w:r>
              <w:rPr>
                <w:sz w:val="18"/>
              </w:rPr>
              <w:t xml:space="preserve">95.00</w:t>
            </w:r>
          </w:p>
        </w:tc>
        <w:tc>
          <w:tcPr/>
          <w:p>
            <w:pPr>
              <w:pStyle w:val="Compact"/>
              <w:spacing w:after="80"/>
              <w:jc w:val="right"/>
            </w:pPr>
            <w:r>
              <w:rPr>
                <w:sz w:val="18"/>
              </w:rPr>
              <w:t xml:space="preserve">+0.00</w:t>
            </w:r>
          </w:p>
        </w:tc>
        <w:tc>
          <w:tcPr/>
          <w:p>
            <w:pPr>
              <w:pStyle w:val="Compact"/>
              <w:spacing w:after="80"/>
              <w:jc w:val="right"/>
            </w:pPr>
            <w:r>
              <w:rPr>
                <w:sz w:val="18"/>
              </w:rPr>
              <w:t xml:space="preserve">+5.00</w:t>
            </w:r>
          </w:p>
        </w:tc>
      </w:tr>
      <w:tr>
        <w:tc>
          <w:tcPr/>
          <w:p>
            <w:pPr>
              <w:pStyle w:val="Compact"/>
              <w:spacing w:after="80"/>
              <w:jc w:val="left"/>
            </w:pPr>
            <w:r>
              <w:rPr>
                <w:sz w:val="18"/>
              </w:rPr>
              <w:t xml:space="preserve">4</w:t>
            </w:r>
          </w:p>
        </w:tc>
        <w:tc>
          <w:tcPr/>
          <w:p>
            <w:pPr>
              <w:pStyle w:val="Compact"/>
              <w:spacing w:after="80"/>
              <w:jc w:val="right"/>
            </w:pPr>
            <w:r>
              <w:rPr>
                <w:sz w:val="18"/>
              </w:rPr>
              <w:t xml:space="preserve">73.33</w:t>
            </w:r>
          </w:p>
        </w:tc>
        <w:tc>
          <w:tcPr/>
          <w:p>
            <w:pPr>
              <w:pStyle w:val="Compact"/>
              <w:spacing w:after="80"/>
              <w:jc w:val="right"/>
            </w:pPr>
            <w:r>
              <w:rPr>
                <w:sz w:val="18"/>
              </w:rPr>
              <w:t xml:space="preserve">71.67</w:t>
            </w:r>
          </w:p>
        </w:tc>
        <w:tc>
          <w:tcPr/>
          <w:p>
            <w:pPr>
              <w:pStyle w:val="Compact"/>
              <w:spacing w:after="80"/>
              <w:jc w:val="right"/>
            </w:pPr>
            <w:r>
              <w:rPr>
                <w:sz w:val="18"/>
              </w:rPr>
              <w:t xml:space="preserve">65.00</w:t>
            </w:r>
          </w:p>
        </w:tc>
        <w:tc>
          <w:tcPr/>
          <w:p>
            <w:pPr>
              <w:pStyle w:val="Compact"/>
              <w:spacing w:after="80"/>
              <w:jc w:val="right"/>
            </w:pPr>
            <w:r>
              <w:rPr>
                <w:sz w:val="18"/>
              </w:rPr>
              <w:t xml:space="preserve">72.50</w:t>
            </w:r>
          </w:p>
        </w:tc>
        <w:tc>
          <w:tcPr/>
          <w:p>
            <w:pPr>
              <w:pStyle w:val="Compact"/>
              <w:spacing w:after="80"/>
              <w:jc w:val="right"/>
            </w:pPr>
            <w:r>
              <w:rPr>
                <w:sz w:val="18"/>
              </w:rPr>
              <w:t xml:space="preserve">-6.67</w:t>
            </w:r>
          </w:p>
        </w:tc>
        <w:tc>
          <w:tcPr/>
          <w:p>
            <w:pPr>
              <w:pStyle w:val="Compact"/>
              <w:spacing w:after="80"/>
              <w:jc w:val="right"/>
            </w:pPr>
            <w:r>
              <w:rPr>
                <w:sz w:val="18"/>
              </w:rPr>
              <w:t xml:space="preserve">+7.50</w:t>
            </w:r>
          </w:p>
        </w:tc>
      </w:tr>
      <w:tr>
        <w:tc>
          <w:tcPr/>
          <w:p>
            <w:pPr>
              <w:pStyle w:val="Compact"/>
              <w:spacing w:after="80"/>
              <w:jc w:val="left"/>
            </w:pPr>
            <w:r>
              <w:rPr>
                <w:sz w:val="18"/>
              </w:rPr>
              <w:t xml:space="preserve">5</w:t>
            </w:r>
          </w:p>
        </w:tc>
        <w:tc>
          <w:tcPr/>
          <w:p>
            <w:pPr>
              <w:pStyle w:val="Compact"/>
              <w:spacing w:after="80"/>
              <w:jc w:val="right"/>
            </w:pPr>
            <w:r>
              <w:rPr>
                <w:sz w:val="18"/>
              </w:rPr>
              <w:t xml:space="preserve">49.17</w:t>
            </w:r>
          </w:p>
        </w:tc>
        <w:tc>
          <w:tcPr/>
          <w:p>
            <w:pPr>
              <w:pStyle w:val="Compact"/>
              <w:spacing w:after="80"/>
              <w:jc w:val="right"/>
            </w:pPr>
            <w:r>
              <w:rPr>
                <w:sz w:val="18"/>
              </w:rPr>
              <w:t xml:space="preserve">49.17</w:t>
            </w:r>
          </w:p>
        </w:tc>
        <w:tc>
          <w:tcPr/>
          <w:p>
            <w:pPr>
              <w:pStyle w:val="Compact"/>
              <w:spacing w:after="80"/>
              <w:jc w:val="right"/>
            </w:pPr>
            <w:r>
              <w:rPr>
                <w:sz w:val="18"/>
              </w:rPr>
              <w:t xml:space="preserve">53.33</w:t>
            </w:r>
          </w:p>
        </w:tc>
        <w:tc>
          <w:tcPr/>
          <w:p>
            <w:pPr>
              <w:pStyle w:val="Compact"/>
              <w:spacing w:after="80"/>
              <w:jc w:val="right"/>
            </w:pPr>
            <w:r>
              <w:rPr>
                <w:sz w:val="18"/>
              </w:rPr>
              <w:t xml:space="preserve">59.17</w:t>
            </w:r>
          </w:p>
        </w:tc>
        <w:tc>
          <w:tcPr/>
          <w:p>
            <w:pPr>
              <w:pStyle w:val="Compact"/>
              <w:spacing w:after="80"/>
              <w:jc w:val="right"/>
            </w:pPr>
            <w:r>
              <w:rPr>
                <w:sz w:val="18"/>
              </w:rPr>
              <w:t xml:space="preserve">+4.17</w:t>
            </w:r>
          </w:p>
        </w:tc>
        <w:tc>
          <w:tcPr/>
          <w:p>
            <w:pPr>
              <w:pStyle w:val="Compact"/>
              <w:spacing w:after="80"/>
              <w:jc w:val="right"/>
            </w:pPr>
            <w:r>
              <w:rPr>
                <w:sz w:val="18"/>
              </w:rPr>
              <w:t xml:space="preserve">+5.83</w:t>
            </w:r>
          </w:p>
        </w:tc>
      </w:tr>
      <w:tr>
        <w:tc>
          <w:tcPr/>
          <w:p>
            <w:pPr>
              <w:pStyle w:val="Compact"/>
              <w:spacing w:after="80"/>
              <w:jc w:val="left"/>
            </w:pPr>
            <w:r>
              <w:rPr>
                <w:sz w:val="18"/>
              </w:rPr>
              <w:t xml:space="preserve">6</w:t>
            </w:r>
          </w:p>
        </w:tc>
        <w:tc>
          <w:tcPr/>
          <w:p>
            <w:pPr>
              <w:pStyle w:val="Compact"/>
              <w:spacing w:after="80"/>
              <w:jc w:val="right"/>
            </w:pPr>
            <w:r>
              <w:rPr>
                <w:sz w:val="18"/>
              </w:rPr>
              <w:t xml:space="preserve">58.33</w:t>
            </w:r>
          </w:p>
        </w:tc>
        <w:tc>
          <w:tcPr/>
          <w:p>
            <w:pPr>
              <w:pStyle w:val="Compact"/>
              <w:spacing w:after="80"/>
              <w:jc w:val="right"/>
            </w:pPr>
            <w:r>
              <w:rPr>
                <w:sz w:val="18"/>
              </w:rPr>
              <w:t xml:space="preserve">59.17</w:t>
            </w:r>
          </w:p>
        </w:tc>
        <w:tc>
          <w:tcPr/>
          <w:p>
            <w:pPr>
              <w:pStyle w:val="Compact"/>
              <w:spacing w:after="80"/>
              <w:jc w:val="right"/>
            </w:pPr>
            <w:r>
              <w:rPr>
                <w:sz w:val="18"/>
              </w:rPr>
              <w:t xml:space="preserve">59.17</w:t>
            </w:r>
          </w:p>
        </w:tc>
        <w:tc>
          <w:tcPr/>
          <w:p>
            <w:pPr>
              <w:pStyle w:val="Compact"/>
              <w:spacing w:after="80"/>
              <w:jc w:val="right"/>
            </w:pPr>
            <w:r>
              <w:rPr>
                <w:sz w:val="18"/>
              </w:rPr>
              <w:t xml:space="preserve">65.83</w:t>
            </w:r>
          </w:p>
        </w:tc>
        <w:tc>
          <w:tcPr/>
          <w:p>
            <w:pPr>
              <w:pStyle w:val="Compact"/>
              <w:spacing w:after="80"/>
              <w:jc w:val="right"/>
            </w:pPr>
            <w:r>
              <w:rPr>
                <w:sz w:val="18"/>
              </w:rPr>
              <w:t xml:space="preserve">+0.00</w:t>
            </w:r>
          </w:p>
        </w:tc>
        <w:tc>
          <w:tcPr/>
          <w:p>
            <w:pPr>
              <w:pStyle w:val="Compact"/>
              <w:spacing w:after="80"/>
              <w:jc w:val="right"/>
            </w:pPr>
            <w:r>
              <w:rPr>
                <w:sz w:val="18"/>
              </w:rPr>
              <w:t xml:space="preserve">+6.67</w:t>
            </w:r>
          </w:p>
        </w:tc>
      </w:tr>
      <w:tr>
        <w:tc>
          <w:tcPr/>
          <w:p>
            <w:pPr>
              <w:pStyle w:val="Compact"/>
              <w:spacing w:after="80"/>
              <w:jc w:val="left"/>
            </w:pPr>
            <w:r>
              <w:rPr>
                <w:sz w:val="18"/>
              </w:rPr>
              <w:t xml:space="preserve">7</w:t>
            </w:r>
          </w:p>
        </w:tc>
        <w:tc>
          <w:tcPr/>
          <w:p>
            <w:pPr>
              <w:pStyle w:val="Compact"/>
              <w:spacing w:after="80"/>
              <w:jc w:val="right"/>
            </w:pPr>
            <w:r>
              <w:rPr>
                <w:sz w:val="18"/>
              </w:rPr>
              <w:t xml:space="preserve">50.83</w:t>
            </w:r>
          </w:p>
        </w:tc>
        <w:tc>
          <w:tcPr/>
          <w:p>
            <w:pPr>
              <w:pStyle w:val="Compact"/>
              <w:spacing w:after="80"/>
              <w:jc w:val="right"/>
            </w:pPr>
            <w:r>
              <w:rPr>
                <w:sz w:val="18"/>
              </w:rPr>
              <w:t xml:space="preserve">57.50</w:t>
            </w:r>
          </w:p>
        </w:tc>
        <w:tc>
          <w:tcPr/>
          <w:p>
            <w:pPr>
              <w:pStyle w:val="Compact"/>
              <w:spacing w:after="80"/>
              <w:jc w:val="right"/>
            </w:pPr>
            <w:r>
              <w:rPr>
                <w:sz w:val="18"/>
              </w:rPr>
              <w:t xml:space="preserve">58.33</w:t>
            </w:r>
          </w:p>
        </w:tc>
        <w:tc>
          <w:tcPr/>
          <w:p>
            <w:pPr>
              <w:pStyle w:val="Compact"/>
              <w:spacing w:after="80"/>
              <w:jc w:val="right"/>
            </w:pPr>
            <w:r>
              <w:rPr>
                <w:sz w:val="18"/>
              </w:rPr>
              <w:t xml:space="preserve">74.17</w:t>
            </w:r>
          </w:p>
        </w:tc>
        <w:tc>
          <w:tcPr/>
          <w:p>
            <w:pPr>
              <w:pStyle w:val="Compact"/>
              <w:spacing w:after="80"/>
              <w:jc w:val="right"/>
            </w:pPr>
            <w:r>
              <w:rPr>
                <w:sz w:val="18"/>
              </w:rPr>
              <w:t xml:space="preserve">+0.83</w:t>
            </w:r>
          </w:p>
        </w:tc>
        <w:tc>
          <w:tcPr/>
          <w:p>
            <w:pPr>
              <w:pStyle w:val="Compact"/>
              <w:spacing w:after="80"/>
              <w:jc w:val="right"/>
            </w:pPr>
            <w:r>
              <w:rPr>
                <w:sz w:val="18"/>
              </w:rPr>
              <w:t xml:space="preserve">+15.83</w:t>
            </w:r>
          </w:p>
        </w:tc>
      </w:tr>
      <w:tr>
        <w:tc>
          <w:tcPr/>
          <w:p>
            <w:pPr>
              <w:pStyle w:val="Compact"/>
              <w:spacing w:after="80"/>
              <w:jc w:val="left"/>
            </w:pPr>
            <w:r>
              <w:rPr>
                <w:sz w:val="18"/>
              </w:rPr>
              <w:t xml:space="preserve">8</w:t>
            </w:r>
          </w:p>
        </w:tc>
        <w:tc>
          <w:tcPr/>
          <w:p>
            <w:pPr>
              <w:pStyle w:val="Compact"/>
              <w:spacing w:after="80"/>
              <w:jc w:val="right"/>
            </w:pPr>
            <w:r>
              <w:rPr>
                <w:sz w:val="18"/>
              </w:rPr>
              <w:t xml:space="preserve">93.33</w:t>
            </w:r>
          </w:p>
        </w:tc>
        <w:tc>
          <w:tcPr/>
          <w:p>
            <w:pPr>
              <w:pStyle w:val="Compact"/>
              <w:spacing w:after="80"/>
              <w:jc w:val="right"/>
            </w:pPr>
            <w:r>
              <w:rPr>
                <w:sz w:val="18"/>
              </w:rPr>
              <w:t xml:space="preserve">94.17</w:t>
            </w:r>
          </w:p>
        </w:tc>
        <w:tc>
          <w:tcPr/>
          <w:p>
            <w:pPr>
              <w:pStyle w:val="Compact"/>
              <w:spacing w:after="80"/>
              <w:jc w:val="right"/>
            </w:pPr>
            <w:r>
              <w:rPr>
                <w:sz w:val="18"/>
              </w:rPr>
              <w:t xml:space="preserve">94.17</w:t>
            </w:r>
          </w:p>
        </w:tc>
        <w:tc>
          <w:tcPr/>
          <w:p>
            <w:pPr>
              <w:pStyle w:val="Compact"/>
              <w:spacing w:after="80"/>
              <w:jc w:val="right"/>
            </w:pPr>
            <w:r>
              <w:rPr>
                <w:sz w:val="18"/>
              </w:rPr>
              <w:t xml:space="preserve">95.00</w:t>
            </w:r>
          </w:p>
        </w:tc>
        <w:tc>
          <w:tcPr/>
          <w:p>
            <w:pPr>
              <w:pStyle w:val="Compact"/>
              <w:spacing w:after="80"/>
              <w:jc w:val="right"/>
            </w:pPr>
            <w:r>
              <w:rPr>
                <w:sz w:val="18"/>
              </w:rPr>
              <w:t xml:space="preserve">+0.00</w:t>
            </w:r>
          </w:p>
        </w:tc>
        <w:tc>
          <w:tcPr/>
          <w:p>
            <w:pPr>
              <w:pStyle w:val="Compact"/>
              <w:spacing w:after="80"/>
              <w:jc w:val="right"/>
            </w:pPr>
            <w:r>
              <w:rPr>
                <w:sz w:val="18"/>
              </w:rPr>
              <w:t xml:space="preserve">+0.83</w:t>
            </w:r>
          </w:p>
        </w:tc>
      </w:tr>
      <w:tr>
        <w:tc>
          <w:tcPr/>
          <w:p>
            <w:pPr>
              <w:pStyle w:val="Compact"/>
              <w:spacing w:after="80"/>
              <w:jc w:val="left"/>
            </w:pPr>
            <w:r>
              <w:rPr>
                <w:sz w:val="18"/>
              </w:rPr>
              <w:t xml:space="preserve">9</w:t>
            </w:r>
          </w:p>
        </w:tc>
        <w:tc>
          <w:tcPr/>
          <w:p>
            <w:pPr>
              <w:pStyle w:val="Compact"/>
              <w:spacing w:after="80"/>
              <w:jc w:val="right"/>
            </w:pPr>
            <w:r>
              <w:rPr>
                <w:sz w:val="18"/>
              </w:rPr>
              <w:t xml:space="preserve">85.00</w:t>
            </w:r>
          </w:p>
        </w:tc>
        <w:tc>
          <w:tcPr/>
          <w:p>
            <w:pPr>
              <w:pStyle w:val="Compact"/>
              <w:spacing w:after="80"/>
              <w:jc w:val="right"/>
            </w:pPr>
            <w:r>
              <w:rPr>
                <w:sz w:val="18"/>
              </w:rPr>
              <w:t xml:space="preserve">89.17</w:t>
            </w:r>
          </w:p>
        </w:tc>
        <w:tc>
          <w:tcPr/>
          <w:p>
            <w:pPr>
              <w:pStyle w:val="Compact"/>
              <w:spacing w:after="80"/>
              <w:jc w:val="right"/>
            </w:pPr>
            <w:r>
              <w:rPr>
                <w:sz w:val="18"/>
              </w:rPr>
              <w:t xml:space="preserve">88.33</w:t>
            </w:r>
          </w:p>
        </w:tc>
        <w:tc>
          <w:tcPr/>
          <w:p>
            <w:pPr>
              <w:pStyle w:val="Compact"/>
              <w:spacing w:after="80"/>
              <w:jc w:val="right"/>
            </w:pPr>
            <w:r>
              <w:rPr>
                <w:sz w:val="18"/>
              </w:rPr>
              <w:t xml:space="preserve">89.17</w:t>
            </w:r>
          </w:p>
        </w:tc>
        <w:tc>
          <w:tcPr/>
          <w:p>
            <w:pPr>
              <w:pStyle w:val="Compact"/>
              <w:spacing w:after="80"/>
              <w:jc w:val="right"/>
            </w:pPr>
            <w:r>
              <w:rPr>
                <w:sz w:val="18"/>
              </w:rPr>
              <w:t xml:space="preserve">-0.83</w:t>
            </w:r>
          </w:p>
        </w:tc>
        <w:tc>
          <w:tcPr/>
          <w:p>
            <w:pPr>
              <w:pStyle w:val="Compact"/>
              <w:spacing w:after="80"/>
              <w:jc w:val="right"/>
            </w:pPr>
            <w:r>
              <w:rPr>
                <w:sz w:val="18"/>
              </w:rPr>
              <w:t xml:space="preserve">+0.83</w:t>
            </w:r>
          </w:p>
        </w:tc>
      </w:tr>
      <w:tr>
        <w:tc>
          <w:tcPr/>
          <w:p>
            <w:pPr>
              <w:pStyle w:val="Compact"/>
              <w:spacing w:after="80"/>
              <w:jc w:val="left"/>
            </w:pPr>
            <w:r>
              <w:rPr>
                <w:b/>
                <w:bCs/>
                <w:sz w:val="18"/>
              </w:rPr>
              <w:t xml:space="preserve">Mean</w:t>
            </w:r>
          </w:p>
        </w:tc>
        <w:tc>
          <w:tcPr/>
          <w:p>
            <w:pPr>
              <w:pStyle w:val="Compact"/>
              <w:spacing w:after="80"/>
              <w:jc w:val="right"/>
            </w:pPr>
            <w:r>
              <w:rPr>
                <w:sz w:val="18"/>
              </w:rPr>
              <w:t xml:space="preserve">70.56</w:t>
            </w:r>
          </w:p>
        </w:tc>
        <w:tc>
          <w:tcPr/>
          <w:p>
            <w:pPr>
              <w:pStyle w:val="Compact"/>
              <w:spacing w:after="80"/>
              <w:jc w:val="right"/>
            </w:pPr>
            <w:r>
              <w:rPr>
                <w:sz w:val="18"/>
              </w:rPr>
              <w:t xml:space="preserve">71.67</w:t>
            </w:r>
          </w:p>
        </w:tc>
        <w:tc>
          <w:tcPr/>
          <w:p>
            <w:pPr>
              <w:pStyle w:val="Compact"/>
              <w:spacing w:after="80"/>
              <w:jc w:val="right"/>
            </w:pPr>
            <w:r>
              <w:rPr>
                <w:sz w:val="18"/>
              </w:rPr>
              <w:t xml:space="preserve">71.85</w:t>
            </w:r>
          </w:p>
        </w:tc>
        <w:tc>
          <w:tcPr/>
          <w:p>
            <w:pPr>
              <w:pStyle w:val="Compact"/>
              <w:spacing w:after="80"/>
              <w:jc w:val="right"/>
            </w:pPr>
            <w:r>
              <w:rPr>
                <w:sz w:val="18"/>
              </w:rPr>
              <w:t xml:space="preserve">77.50</w:t>
            </w:r>
          </w:p>
        </w:tc>
        <w:tc>
          <w:tcPr/>
          <w:p>
            <w:pPr>
              <w:pStyle w:val="Compact"/>
              <w:spacing w:after="80"/>
              <w:jc w:val="right"/>
            </w:pPr>
            <w:r>
              <w:rPr>
                <w:b/>
                <w:bCs/>
                <w:sz w:val="18"/>
              </w:rPr>
              <w:t xml:space="preserve">+0.19</w:t>
            </w:r>
          </w:p>
        </w:tc>
        <w:tc>
          <w:tcPr/>
          <w:p>
            <w:pPr>
              <w:pStyle w:val="Compact"/>
              <w:spacing w:after="80"/>
              <w:jc w:val="right"/>
            </w:pPr>
            <w:r>
              <w:rPr>
                <w:b/>
                <w:bCs/>
                <w:sz w:val="18"/>
              </w:rPr>
              <w:t xml:space="preserve">+5.65</w:t>
            </w:r>
          </w:p>
        </w:tc>
      </w:tr>
    </w:tbl>
    <w:p/>
    <w:tbl>
      <w:tblPr>
        <w:tblStyle w:val="Table"/>
        <w:tblW w:type="pct" w:w="5000"/>
        <w:jc w:val="left"/>
        <w:tblLayout w:type="autofit"/>
        <w:tblLook w:firstRow="1" w:lastRow="0" w:firstColumn="0" w:lastColumn="0" w:noHBand="0" w:noVBand="0" w:val="0020"/>
      </w:tblPr>
      <w:tblGrid>
        <w:gridCol w:w="1131"/>
        <w:gridCol w:w="1131"/>
        <w:gridCol w:w="1508"/>
        <w:gridCol w:w="1131"/>
        <w:gridCol w:w="1508"/>
        <w:gridCol w:w="1508"/>
      </w:tblGrid>
      <w:tr>
        <w:trPr>
          <w:tblHeader w:val="on"/>
        </w:trPr>
        <w:tc>
          <w:tcPr/>
          <w:p>
            <w:pPr>
              <w:pStyle w:val="Compact"/>
              <w:spacing w:after="80"/>
              <w:jc w:val="left"/>
            </w:pPr>
            <w:r>
              <w:rPr>
                <w:b/>
                <w:sz w:val="18"/>
              </w:rPr>
              <w:t xml:space="preserve">Contrast</w:t>
            </w:r>
          </w:p>
        </w:tc>
        <w:tc>
          <w:tcPr/>
          <w:p>
            <w:pPr>
              <w:pStyle w:val="Compact"/>
              <w:spacing w:after="80"/>
              <w:jc w:val="left"/>
            </w:pPr>
            <w:r>
              <w:rPr>
                <w:b/>
                <w:sz w:val="18"/>
              </w:rPr>
              <w:t xml:space="preserve">Role</w:t>
            </w:r>
          </w:p>
        </w:tc>
        <w:tc>
          <w:tcPr/>
          <w:p>
            <w:pPr>
              <w:pStyle w:val="Compact"/>
              <w:spacing w:after="80"/>
              <w:jc w:val="right"/>
            </w:pPr>
            <w:r>
              <w:rPr>
                <w:b/>
                <w:sz w:val="18"/>
              </w:rPr>
              <w:t xml:space="preserve">Mean difference, pp</w:t>
            </w:r>
          </w:p>
        </w:tc>
        <w:tc>
          <w:tcPr/>
          <w:p>
            <w:pPr>
              <w:pStyle w:val="Compact"/>
              <w:spacing w:after="80"/>
              <w:jc w:val="left"/>
            </w:pPr>
            <w:r>
              <w:rPr>
                <w:b/>
                <w:sz w:val="18"/>
              </w:rPr>
              <w:t xml:space="preserve">Pointwise 95 % CI, pp</w:t>
            </w:r>
          </w:p>
        </w:tc>
        <w:tc>
          <w:tcPr/>
          <w:p>
            <w:pPr>
              <w:pStyle w:val="Compact"/>
              <w:spacing w:after="80"/>
              <w:jc w:val="right"/>
            </w:pPr>
            <w:r>
              <w:rPr>
                <w:b/>
                <w:sz w:val="18"/>
              </w:rPr>
              <w:t xml:space="preserve">Exact p</w:t>
            </w:r>
          </w:p>
        </w:tc>
        <w:tc>
          <w:tcPr/>
          <w:p>
            <w:pPr>
              <w:pStyle w:val="Compact"/>
              <w:spacing w:after="80"/>
              <w:jc w:val="right"/>
            </w:pPr>
            <w:r>
              <w:rPr>
                <w:b/>
                <w:sz w:val="18"/>
              </w:rPr>
              <w:t xml:space="preserve">Secondary Holm p</w:t>
            </w:r>
          </w:p>
        </w:tc>
      </w:tr>
      <w:tr>
        <w:tc>
          <w:tcPr/>
          <w:p>
            <w:pPr>
              <w:pStyle w:val="Compact"/>
              <w:spacing w:after="80"/>
              <w:jc w:val="left"/>
            </w:pPr>
            <w:r>
              <w:rPr>
                <w:sz w:val="18"/>
              </w:rPr>
              <w:t xml:space="preserve">Full − LDA-only</w:t>
            </w:r>
          </w:p>
        </w:tc>
        <w:tc>
          <w:tcPr/>
          <w:p>
            <w:pPr>
              <w:pStyle w:val="Compact"/>
              <w:spacing w:after="80"/>
              <w:jc w:val="left"/>
            </w:pPr>
            <w:r>
              <w:rPr>
                <w:sz w:val="18"/>
              </w:rPr>
              <w:t xml:space="preserve">primary</w:t>
            </w:r>
          </w:p>
        </w:tc>
        <w:tc>
          <w:tcPr/>
          <w:p>
            <w:pPr>
              <w:pStyle w:val="Compact"/>
              <w:spacing w:after="80"/>
              <w:jc w:val="right"/>
            </w:pPr>
            <w:r>
              <w:rPr>
                <w:sz w:val="18"/>
              </w:rPr>
              <w:t xml:space="preserve">+0.19</w:t>
            </w:r>
          </w:p>
        </w:tc>
        <w:tc>
          <w:tcPr/>
          <w:p>
            <w:pPr>
              <w:pStyle w:val="Compact"/>
              <w:spacing w:after="80"/>
              <w:jc w:val="left"/>
            </w:pPr>
            <w:r>
              <w:rPr>
                <w:sz w:val="18"/>
              </w:rPr>
              <w:t xml:space="preserve">[-1.85, 2.13]</w:t>
            </w:r>
          </w:p>
        </w:tc>
        <w:tc>
          <w:tcPr/>
          <w:p>
            <w:pPr>
              <w:pStyle w:val="Compact"/>
              <w:spacing w:after="80"/>
              <w:jc w:val="right"/>
            </w:pPr>
            <w:r>
              <w:rPr>
                <w:sz w:val="18"/>
              </w:rPr>
              <w:t xml:space="preserve">0.96875</w:t>
            </w:r>
          </w:p>
        </w:tc>
        <w:tc>
          <w:tcPr/>
          <w:p>
            <w:pPr>
              <w:pStyle w:val="Compact"/>
              <w:spacing w:after="80"/>
              <w:jc w:val="right"/>
            </w:pPr>
            <w:r>
              <w:rPr>
                <w:sz w:val="18"/>
              </w:rPr>
              <w:t xml:space="preserve">—</w:t>
            </w:r>
          </w:p>
        </w:tc>
      </w:tr>
      <w:tr>
        <w:tc>
          <w:tcPr/>
          <w:p>
            <w:pPr>
              <w:pStyle w:val="Compact"/>
              <w:spacing w:after="80"/>
              <w:jc w:val="left"/>
            </w:pPr>
            <w:r>
              <w:rPr>
                <w:sz w:val="18"/>
              </w:rPr>
              <w:t xml:space="preserve">Full − Frozen</w:t>
            </w:r>
          </w:p>
        </w:tc>
        <w:tc>
          <w:tcPr/>
          <w:p>
            <w:pPr>
              <w:pStyle w:val="Compact"/>
              <w:spacing w:after="80"/>
              <w:jc w:val="left"/>
            </w:pPr>
            <w:r>
              <w:rPr>
                <w:sz w:val="18"/>
              </w:rPr>
              <w:t xml:space="preserve">secondary</w:t>
            </w:r>
          </w:p>
        </w:tc>
        <w:tc>
          <w:tcPr/>
          <w:p>
            <w:pPr>
              <w:pStyle w:val="Compact"/>
              <w:spacing w:after="80"/>
              <w:jc w:val="right"/>
            </w:pPr>
            <w:r>
              <w:rPr>
                <w:sz w:val="18"/>
              </w:rPr>
              <w:t xml:space="preserve">+1.30</w:t>
            </w:r>
          </w:p>
        </w:tc>
        <w:tc>
          <w:tcPr/>
          <w:p>
            <w:pPr>
              <w:pStyle w:val="Compact"/>
              <w:spacing w:after="80"/>
              <w:jc w:val="left"/>
            </w:pPr>
            <w:r>
              <w:rPr>
                <w:sz w:val="18"/>
              </w:rPr>
              <w:t xml:space="preserve">[-1.76, 3.98]</w:t>
            </w:r>
          </w:p>
        </w:tc>
        <w:tc>
          <w:tcPr/>
          <w:p>
            <w:pPr>
              <w:pStyle w:val="Compact"/>
              <w:spacing w:after="80"/>
              <w:jc w:val="right"/>
            </w:pPr>
            <w:r>
              <w:rPr>
                <w:sz w:val="18"/>
              </w:rPr>
              <w:t xml:space="preserve">0.45312</w:t>
            </w:r>
          </w:p>
        </w:tc>
        <w:tc>
          <w:tcPr/>
          <w:p>
            <w:pPr>
              <w:pStyle w:val="Compact"/>
              <w:spacing w:after="80"/>
              <w:jc w:val="right"/>
            </w:pPr>
            <w:r>
              <w:rPr>
                <w:sz w:val="18"/>
              </w:rPr>
              <w:t xml:space="preserve">0.68750</w:t>
            </w:r>
          </w:p>
        </w:tc>
      </w:tr>
      <w:tr>
        <w:tc>
          <w:tcPr/>
          <w:p>
            <w:pPr>
              <w:pStyle w:val="Compact"/>
              <w:spacing w:after="80"/>
              <w:jc w:val="left"/>
            </w:pPr>
            <w:r>
              <w:rPr>
                <w:sz w:val="18"/>
              </w:rPr>
              <w:t xml:space="preserve">LDA-only − Frozen</w:t>
            </w:r>
          </w:p>
        </w:tc>
        <w:tc>
          <w:tcPr/>
          <w:p>
            <w:pPr>
              <w:pStyle w:val="Compact"/>
              <w:spacing w:after="80"/>
              <w:jc w:val="left"/>
            </w:pPr>
            <w:r>
              <w:rPr>
                <w:sz w:val="18"/>
              </w:rPr>
              <w:t xml:space="preserve">secondary</w:t>
            </w:r>
          </w:p>
        </w:tc>
        <w:tc>
          <w:tcPr/>
          <w:p>
            <w:pPr>
              <w:pStyle w:val="Compact"/>
              <w:spacing w:after="80"/>
              <w:jc w:val="right"/>
            </w:pPr>
            <w:r>
              <w:rPr>
                <w:sz w:val="18"/>
              </w:rPr>
              <w:t xml:space="preserve">+1.11</w:t>
            </w:r>
          </w:p>
        </w:tc>
        <w:tc>
          <w:tcPr/>
          <w:p>
            <w:pPr>
              <w:pStyle w:val="Compact"/>
              <w:spacing w:after="80"/>
              <w:jc w:val="left"/>
            </w:pPr>
            <w:r>
              <w:rPr>
                <w:sz w:val="18"/>
              </w:rPr>
              <w:t xml:space="preserve">[-0.46, 2.96]</w:t>
            </w:r>
          </w:p>
        </w:tc>
        <w:tc>
          <w:tcPr/>
          <w:p>
            <w:pPr>
              <w:pStyle w:val="Compact"/>
              <w:spacing w:after="80"/>
              <w:jc w:val="right"/>
            </w:pPr>
            <w:r>
              <w:rPr>
                <w:sz w:val="18"/>
              </w:rPr>
              <w:t xml:space="preserve">0.34375</w:t>
            </w:r>
          </w:p>
        </w:tc>
        <w:tc>
          <w:tcPr/>
          <w:p>
            <w:pPr>
              <w:pStyle w:val="Compact"/>
              <w:spacing w:after="80"/>
              <w:jc w:val="right"/>
            </w:pPr>
            <w:r>
              <w:rPr>
                <w:sz w:val="18"/>
              </w:rPr>
              <w:t xml:space="preserve">0.68750</w:t>
            </w:r>
          </w:p>
        </w:tc>
      </w:tr>
      <w:tr>
        <w:tc>
          <w:tcPr/>
          <w:p>
            <w:pPr>
              <w:pStyle w:val="Compact"/>
              <w:spacing w:after="80"/>
              <w:jc w:val="left"/>
            </w:pPr>
            <w:r>
              <w:rPr>
                <w:sz w:val="18"/>
              </w:rPr>
              <w:t xml:space="preserve">EA − Full</w:t>
            </w:r>
          </w:p>
        </w:tc>
        <w:tc>
          <w:tcPr/>
          <w:p>
            <w:pPr>
              <w:pStyle w:val="Compact"/>
              <w:spacing w:after="80"/>
              <w:jc w:val="left"/>
            </w:pPr>
            <w:r>
              <w:rPr>
                <w:sz w:val="18"/>
              </w:rPr>
              <w:t xml:space="preserve">secondary</w:t>
            </w:r>
          </w:p>
        </w:tc>
        <w:tc>
          <w:tcPr/>
          <w:p>
            <w:pPr>
              <w:pStyle w:val="Compact"/>
              <w:spacing w:after="80"/>
              <w:jc w:val="right"/>
            </w:pPr>
            <w:r>
              <w:rPr>
                <w:sz w:val="18"/>
              </w:rPr>
              <w:t xml:space="preserve">+5.65</w:t>
            </w:r>
          </w:p>
        </w:tc>
        <w:tc>
          <w:tcPr/>
          <w:p>
            <w:pPr>
              <w:pStyle w:val="Compact"/>
              <w:spacing w:after="80"/>
              <w:jc w:val="left"/>
            </w:pPr>
            <w:r>
              <w:rPr>
                <w:sz w:val="18"/>
              </w:rPr>
              <w:t xml:space="preserve">[3.15, 8.70]</w:t>
            </w:r>
          </w:p>
        </w:tc>
        <w:tc>
          <w:tcPr/>
          <w:p>
            <w:pPr>
              <w:pStyle w:val="Compact"/>
              <w:spacing w:after="80"/>
              <w:jc w:val="right"/>
            </w:pPr>
            <w:r>
              <w:rPr>
                <w:sz w:val="18"/>
              </w:rPr>
              <w:t xml:space="preserve">0.00391</w:t>
            </w:r>
          </w:p>
        </w:tc>
        <w:tc>
          <w:tcPr/>
          <w:p>
            <w:pPr>
              <w:pStyle w:val="Compact"/>
              <w:spacing w:after="80"/>
              <w:jc w:val="right"/>
            </w:pPr>
            <w:r>
              <w:rPr>
                <w:sz w:val="18"/>
              </w:rPr>
              <w:t xml:space="preserve">0.01172</w:t>
            </w:r>
          </w:p>
        </w:tc>
      </w:tr>
    </w:tbl>
    <w:p>
      <w:pPr>
        <w:pStyle w:val="BodyText"/>
      </w:pPr>
      <w:r>
        <w:t xml:space="preserve">The fixed primary comparison is Full−LDA-only, specified before this run’s predictions. The three secondary comparisons form a separate Holm family. Exact two-sided sign-flip tests retain observed difference magnitudes over 512 assignments and use the absolute paired mean, with 1e−12 BA boundary tolerance. Pointwise percentile bootstrap intervals use 10,000 paired participant draws, seed 20261027 and numeric participant order 1–9.</w:t>
      </w:r>
    </w:p>
    <w:p>
      <w:pPr>
        <w:pStyle w:val="BodyText"/>
      </w:pPr>
      <w:r>
        <w:t xml:space="preserve">Full−LDA-only is positive/negative/zero in 3/3/3 people; its leave-one-out mean spans −0.42 to +1.04 pp. EA−Full is positive in 9/9, with individual differences +0.83 to +15.83 pp and leave-one-out means +4.38 to +6.25 pp. Across query runs 2–6, EA−Full cohort means are +10.19, +2.78, +6.02, +6.94 and +2.31 pp. Floating-point tie handling is documented in the independent numerical audit.</w:t>
      </w:r>
    </w:p>
    <w:bookmarkEnd w:id="36"/>
    <w:bookmarkStart w:id="37" w:name="X0f30307571265d5cbb50c6fc5e6a8477197df88"/>
    <w:p>
      <w:pPr>
        <w:pStyle w:val="Heading3"/>
      </w:pPr>
      <w:r>
        <w:rPr>
          <w:color w:val="000000"/>
        </w:rPr>
        <w:t xml:space="preserve">Original artifact flags and ethics sources</w:t>
      </w:r>
    </w:p>
    <w:p>
      <w:pPr>
        <w:pStyle w:val="FirstParagraph"/>
      </w:pPr>
      <w:r>
        <w:t xml:space="preserve">No artifact-marked trials were rejected. Across nine people, the original flags occurred in 87 source-fit, 17 support and 94 query trials. These retained flags are different from Kumar’s amplitude rule. This experiment uses all original labeled hand trials in its assigned roles; the competition used an artifact-free-only scoring convention.</w:t>
      </w:r>
    </w:p>
    <w:p>
      <w:pPr>
        <w:pStyle w:val="BodyText"/>
      </w:pPr>
      <w:r>
        <w:t xml:space="preserve">The inspected BNCI2a source paper and original protocol did not report a dataset-2a-specific ethics committee, approval number or consent form. The paper’s Harborview IRB/informed-consent paragraph belongs to Dataset 4 (ECoG) and is not attributed to these participants. The secondary analysis uses public coded records under the national-law basis stated in the main text, without recontact or re-identification. Original MAT recordings retain CC BY-ND 4.0 terms; public derived tables and code do not relicense the source recordings.</w:t>
      </w:r>
    </w:p>
    <w:bookmarkEnd w:id="37"/>
    <w:bookmarkStart w:id="38" w:name="version-execution-and-reconstruction"/>
    <w:p>
      <w:pPr>
        <w:pStyle w:val="Heading3"/>
      </w:pPr>
      <w:r>
        <w:rPr>
          <w:color w:val="000000"/>
        </w:rPr>
        <w:t xml:space="preserve">Version, execution and reconstruction</w:t>
      </w:r>
    </w:p>
    <w:p>
      <w:pPr>
        <w:pStyle w:val="FirstParagraph"/>
      </w:pPr>
      <w:r>
        <w:t xml:space="preserve">The protocol, raw-file identities and implementation were fixed at commit</w:t>
      </w:r>
      <w:r>
        <w:t xml:space="preserve"> </w:t>
      </w:r>
      <w:r>
        <w:rPr>
          <w:rStyle w:val="VerbatimChar"/>
        </w:rPr>
        <w:t xml:space="preserve">457e7bdaad96e84782b6fe968f88925a1200c4b3</w:t>
      </w:r>
      <w:r>
        <w:t xml:space="preserve"> before prediction generation. The external experiment used nine source fits and 27 updating fits; frozen models reused the corresponding source fit. All 18 original MAT files matched the versioned NEMAR byte lengths and SHA256 checksums, totaling 779,873,919 bytes. Execution used Python 3.11.16, NumPy 2.2.6 and SciPy 1.15.3, with one BLAS thread.</w:t>
      </w:r>
    </w:p>
    <w:p>
      <w:pPr>
        <w:pStyle w:val="BodyText"/>
      </w:pPr>
      <w:r>
        <w:t xml:space="preserve">The external public result folder is</w:t>
      </w:r>
      <w:r>
        <w:t xml:space="preserve"> </w:t>
      </w:r>
      <w:r>
        <w:rPr>
          <w:rStyle w:val="VerbatimChar"/>
        </w:rPr>
        <w:t xml:space="preserve">research_logs/paper2_external_validation_20261027/</w:t>
      </w:r>
      <w:r>
        <w:t xml:space="preserve">: all 36 saved prediction JSONs, trial-role manifests, participant/run tables, exact tests and an independent JSON-only reconstruction are retained. This covers 1,080 distinct target trials, 4,320 method-specific prediction rows and 180 nested run endpoints. Participants define the independent sample. BNCI had historical use in the first-paper project; the present component comparison was fixed in the repository before prediction generation.</w:t>
      </w:r>
    </w:p>
    <w:p>
      <w:pPr>
        <w:pStyle w:val="BodyText"/>
      </w:pPr>
      <w:r>
        <w:t xml:space="preserve">The public repository supplies all saved predictions, trial-role manifests and numerical reconstruction code. Original EEG retains its source-data license. Private storage records and original transfer receipts are documented in the repository audit report.</w:t>
      </w:r>
    </w:p>
    <w:p>
      <w:pPr>
        <w:pStyle w:val="BodyText"/>
      </w:pPr>
      <w:r>
        <w:t xml:space="preserve">Run</w:t>
      </w:r>
      <w:r>
        <w:t xml:space="preserve"> </w:t>
      </w:r>
      <w:r>
        <w:rPr>
          <w:rStyle w:val="VerbatimChar"/>
        </w:rPr>
        <w:t xml:space="preserve">scripts/replay_paper2_external_saved_predictions_20261027.py</w:t>
      </w:r>
      <w:r>
        <w:t xml:space="preserve"> </w:t>
      </w:r>
      <w:r>
        <w:t xml:space="preserve">to regenerate the aggregate from public prediction JSON files. The result-folder REPRODUCE.md supplies the exact command and dependencies. Raw-data execution and resumption use the fixed script and a separate private output directory.</w:t>
      </w:r>
    </w:p>
    <w:bookmarkEnd w:id="38"/>
    <w:bookmarkEnd w:id="39"/>
    <w:bookmarkEnd w:id="40"/>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Ziyuan Zhu; Sihao Liu</dc:creator>
  <dc:language>en-US</dc:language>
  <cp:keywords/>
  <dcterms:created xsi:type="dcterms:W3CDTF">2026-10-27T07:21:07Z</dcterms:created>
  <dcterms:modified xsi:type="dcterms:W3CDTF">2026-10-27T07:21:07Z</dcterms:modified>
  <dc:subject>Biomedical Engineering / Biomedizinische Technik Research Article submission version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/workspace/few-shot-mi-eeg/manuscript/discovery_revision_20261027/references.bib</vt:lpwstr>
  </property>
  <property fmtid="{D5CDD505-2E9C-101B-9397-08002B2CF9AE}" pid="3" name="csl">
    <vt:lpwstr>/workspace/few-shot-mi-eeg/manuscript/discovery_revision_20261027/Third_Party/bmt_vancouver.csl</vt:lpwstr>
  </property>
</Properties>
</file>