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49b58c788bf15f9a3c20fb3281ba874051f6f74"/>
    <w:p>
      <w:pPr>
        <w:pStyle w:val="Heading1"/>
      </w:pPr>
      <w: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determine which spatial update adds value beyond classifier recalibration with 20 current-session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18 Kumar2024 participants across six sessions. The original primary cohort contained 12 participants. A fixed four-method replication added nine BNCI2014-001 participants and support-only Euclidean alignment (EA-CSP). Updating methods received identical labels within each dataset.</w:t>
      </w:r>
    </w:p>
    <w:p>
      <w:pPr>
        <w:pStyle w:val="BodyText"/>
      </w:pPr>
      <w:r>
        <w:rPr>
          <w:b/>
          <w:bCs/>
        </w:rPr>
        <w:t xml:space="preserve">Results:</w:t>
      </w:r>
      <w:r>
        <w:t xml:space="preserve"> </w:t>
      </w:r>
      <w:r>
        <w:t xml:space="preserve">In Kumar2024, full refitting achieved 65.36% balanced accuracy, 7.42 percentage points above freezing (95% participant-bootstrap interval 2.49–12.48). The secondary full-minus-classifier-only gain was 5.47 points (2.17–8.91), accounting for 73.7% of the mean total gain. In BNCI, full-minus-classifier-only was 0.19 points (−1.85 to 2.13). EA-CSP achieved 77.50%, improving on full refitting by 5.65 points (3.15–8.70; Holm-adjusted p=0.01172), with gains in all nine participants. Fixed source normalization also reduced single-class neural predictions at the 20-label cap.</w:t>
      </w:r>
    </w:p>
    <w:p>
      <w:pPr>
        <w:pStyle w:val="BodyText"/>
      </w:pPr>
      <w:r>
        <w:rPr>
          <w:b/>
          <w:bCs/>
        </w:rPr>
        <w:t xml:space="preserve">Conclusions:</w:t>
      </w:r>
      <w:r>
        <w:t xml:space="preserve"> </w:t>
      </w:r>
      <w:r>
        <w:t xml:space="preserve">Matched-label comparisons distinguish the contributions of spatial refitting and support-only alignment. Their different effects across datasets make the update operation central to limited-label recalibration.</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A decoder trained in the first Kumar2024 session must serve five later sessions. At the start of each later session, a short calibration run supplies only 19 or 20 complete labeled trials. Should these labels recalibrate the classifier, relearn its spatial filters, or update both? This practical choice links longitudinal motor-imagery brain–computer interfaces (BCIs) to the limited-sample estimation problem: each updated component must be learned from the available new observations</w:t>
      </w:r>
      <w:r>
        <w:t xml:space="preserve"> </w:t>
      </w:r>
      <w:r>
        <w:t xml:space="preserve">[1]</w:t>
      </w:r>
      <w:r>
        <w:t xml:space="preserve">.</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Giving the two updates identical labels isolates the added spatial update within the evaluated pipeline. The distinction matters for the broader instruction to adapt a representation: supervised spatial-filter refitting and repeated neural normalization are different operations with different estimation demands.</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These precedents motivate a quantitative question: how much does relearning spatial filters add when classifier recalibration already receives the same new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 The online benchmark evaluates how revealed label histories support continuing updates; our fixed-budget comparison measures the additional spatial component.</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Explicitly separating these actions helps explain the resulting predictions.</w:t>
      </w:r>
    </w:p>
    <w:p>
      <w:pPr>
        <w:pStyle w:val="BodyText"/>
      </w:pPr>
      <w:r>
        <w:t xml:space="preserve">We use</w:t>
      </w:r>
      <w:r>
        <w:t xml:space="preserve"> </w:t>
      </w:r>
      <w:r>
        <w:rPr>
          <w:b/>
          <w:bCs/>
        </w:rPr>
        <w:t xml:space="preserve">matched-label component analysis</w:t>
      </w:r>
      <w:r>
        <w:t xml:space="preserve"> </w:t>
      </w:r>
      <w:r>
        <w:t xml:space="preserve">to connect three contributions: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and longitudinal attribution.</w:t>
      </w:r>
      <w:r>
        <w:t xml:space="preserve"> </w:t>
      </w:r>
      <w:r>
        <w:t xml:space="preserve">Corrected and newly introduced errors reconstruct the component gain, while class recalls, target-session profiles and participant-deletion summaries locate that gain across the longitudinal data. The original full-minus-frozen comparison remains primary and full-minus-LDA-only secondary.</w:t>
      </w:r>
    </w:p>
    <w:p>
      <w:pPr>
        <w:pStyle w:val="Compact"/>
        <w:numPr>
          <w:ilvl w:val="0"/>
          <w:numId w:val="1001"/>
        </w:numPr>
      </w:pPr>
      <w:r>
        <w:rPr>
          <w:b/>
          <w:bCs/>
        </w:rPr>
        <w:t xml:space="preserve">An external comparison of update operations.</w:t>
      </w:r>
      <w:r>
        <w:t xml:space="preserve"> </w:t>
      </w:r>
      <w:r>
        <w:t xml:space="preserve">A fixed nine-participant BNCI2014-001 replication compares the same component contrast with support-only EA-CSP under exactly 20 target labels. Neural normalization and geometric controls locate further operation-specific effects in the development cohort.</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fixed-budget replication</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The external protocol fixed methods, inputs and endpoints before its predictions were generated; it performed no parameter search. BNCI had previously been used in the first-paper project; this is an independent-data replication of the component question.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replication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replication generated its own four-method predictions. All external BA values were independently reconstructed from the saved predictions without another model evaluation.</w:t>
      </w:r>
    </w:p>
    <w:bookmarkEnd w:id="29"/>
    <w:bookmarkEnd w:id="30"/>
    <w:bookmarkStart w:id="53" w:name="results"/>
    <w:p>
      <w:pPr>
        <w:pStyle w:val="Heading2"/>
      </w:pPr>
      <w:r>
        <w:t xml:space="preserve">Results</w:t>
      </w:r>
    </w:p>
    <w:bookmarkStart w:id="34"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spacing w:after="80"/>
              <w:jc w:val="left"/>
            </w:pPr>
            <w:r>
              <w:rPr>
                <w:b/>
                <w:sz w:val="18"/>
              </w:rPr>
              <w:t xml:space="preserve">Cohort</w:t>
            </w:r>
          </w:p>
        </w:tc>
        <w:tc>
          <w:tcPr/>
          <w:p>
            <w:pPr>
              <w:pStyle w:val="Compact"/>
              <w:spacing w:after="80"/>
              <w:jc w:val="right"/>
            </w:pPr>
            <w:r>
              <w:rPr>
                <w:b/>
                <w:sz w:val="18"/>
              </w:rPr>
              <w:t xml:space="preserve">Participants</w:t>
            </w:r>
          </w:p>
        </w:tc>
        <w:tc>
          <w:tcPr/>
          <w:p>
            <w:pPr>
              <w:pStyle w:val="Compact"/>
              <w:spacing w:after="80"/>
              <w:jc w:val="right"/>
            </w:pPr>
            <w:r>
              <w:rPr>
                <w:b/>
                <w:sz w:val="18"/>
              </w:rPr>
              <w:t xml:space="preserve">Frozen CSP/LDA BA</w:t>
            </w:r>
          </w:p>
        </w:tc>
        <w:tc>
          <w:tcPr/>
          <w:p>
            <w:pPr>
              <w:pStyle w:val="Compact"/>
              <w:spacing w:after="80"/>
              <w:jc w:val="right"/>
            </w:pPr>
            <w:r>
              <w:rPr>
                <w:b/>
                <w:sz w:val="18"/>
              </w:rPr>
              <w:t xml:space="preserve">LDA-only BA</w:t>
            </w:r>
          </w:p>
        </w:tc>
        <w:tc>
          <w:tcPr/>
          <w:p>
            <w:pPr>
              <w:pStyle w:val="Compact"/>
              <w:spacing w:after="80"/>
              <w:jc w:val="right"/>
            </w:pPr>
            <w:r>
              <w:rPr>
                <w:b/>
                <w:sz w:val="18"/>
              </w:rPr>
              <w:t xml:space="preserve">Full CSP/LDA BA</w:t>
            </w:r>
          </w:p>
        </w:tc>
        <w:tc>
          <w:tcPr/>
          <w:p>
            <w:pPr>
              <w:pStyle w:val="Compact"/>
              <w:spacing w:after="80"/>
              <w:jc w:val="right"/>
            </w:pPr>
            <w:r>
              <w:rPr>
                <w:b/>
                <w:sz w:val="18"/>
              </w:rPr>
              <w:t xml:space="preserve">Full − frozen</w:t>
            </w:r>
          </w:p>
        </w:tc>
        <w:tc>
          <w:tcPr/>
          <w:p>
            <w:pPr>
              <w:pStyle w:val="Compact"/>
              <w:spacing w:after="80"/>
              <w:jc w:val="right"/>
            </w:pPr>
            <w:r>
              <w:rPr>
                <w:b/>
                <w:sz w:val="18"/>
              </w:rPr>
              <w:t xml:space="preserve">Full − LDA-only</w:t>
            </w:r>
          </w:p>
        </w:tc>
      </w:tr>
      <w:tr>
        <w:tc>
          <w:tcPr/>
          <w:p>
            <w:pPr>
              <w:pStyle w:val="Compact"/>
              <w:spacing w:after="80"/>
              <w:jc w:val="left"/>
            </w:pPr>
            <w:r>
              <w:rPr>
                <w:sz w:val="18"/>
              </w:rPr>
              <w:t xml:space="preserve">Development</w:t>
            </w:r>
          </w:p>
        </w:tc>
        <w:tc>
          <w:tcPr/>
          <w:p>
            <w:pPr>
              <w:pStyle w:val="Compact"/>
              <w:spacing w:after="80"/>
              <w:jc w:val="right"/>
            </w:pPr>
            <w:r>
              <w:rPr>
                <w:sz w:val="18"/>
              </w:rPr>
              <w:t xml:space="preserve">6</w:t>
            </w:r>
          </w:p>
        </w:tc>
        <w:tc>
          <w:tcPr/>
          <w:p>
            <w:pPr>
              <w:pStyle w:val="Compact"/>
              <w:spacing w:after="80"/>
              <w:jc w:val="right"/>
            </w:pPr>
            <w:r>
              <w:rPr>
                <w:sz w:val="18"/>
              </w:rPr>
              <w:t xml:space="preserve">59.97%</w:t>
            </w:r>
          </w:p>
        </w:tc>
        <w:tc>
          <w:tcPr/>
          <w:p>
            <w:pPr>
              <w:pStyle w:val="Compact"/>
              <w:spacing w:after="80"/>
              <w:jc w:val="right"/>
            </w:pPr>
            <w:r>
              <w:rPr>
                <w:sz w:val="18"/>
              </w:rPr>
              <w:t xml:space="preserve">64.37%</w:t>
            </w:r>
          </w:p>
        </w:tc>
        <w:tc>
          <w:tcPr/>
          <w:p>
            <w:pPr>
              <w:pStyle w:val="Compact"/>
              <w:spacing w:after="80"/>
              <w:jc w:val="right"/>
            </w:pPr>
            <w:r>
              <w:rPr>
                <w:sz w:val="18"/>
              </w:rPr>
              <w:t xml:space="preserve">63.22%</w:t>
            </w:r>
          </w:p>
        </w:tc>
        <w:tc>
          <w:tcPr/>
          <w:p>
            <w:pPr>
              <w:pStyle w:val="Compact"/>
              <w:spacing w:after="80"/>
              <w:jc w:val="right"/>
            </w:pPr>
            <w:r>
              <w:rPr>
                <w:sz w:val="18"/>
              </w:rPr>
              <w:t xml:space="preserve">+3.25 pp</w:t>
            </w:r>
          </w:p>
        </w:tc>
        <w:tc>
          <w:tcPr/>
          <w:p>
            <w:pPr>
              <w:pStyle w:val="Compact"/>
              <w:spacing w:after="80"/>
              <w:jc w:val="right"/>
            </w:pPr>
            <w:r>
              <w:rPr>
                <w:sz w:val="18"/>
              </w:rPr>
              <w:t xml:space="preserve">−1.15 pp</w:t>
            </w:r>
          </w:p>
        </w:tc>
      </w:tr>
      <w:tr>
        <w:tc>
          <w:tcPr/>
          <w:p>
            <w:pPr>
              <w:pStyle w:val="Compact"/>
              <w:spacing w:after="80"/>
              <w:jc w:val="left"/>
            </w:pPr>
            <w:r>
              <w:rPr>
                <w:sz w:val="18"/>
              </w:rPr>
              <w:t xml:space="preserve">Predefined primary cohort</w:t>
            </w:r>
          </w:p>
        </w:tc>
        <w:tc>
          <w:tcPr/>
          <w:p>
            <w:pPr>
              <w:pStyle w:val="Compact"/>
              <w:spacing w:after="80"/>
              <w:jc w:val="right"/>
            </w:pPr>
            <w:r>
              <w:rPr>
                <w:sz w:val="18"/>
              </w:rPr>
              <w:t xml:space="preserve">12</w:t>
            </w:r>
          </w:p>
        </w:tc>
        <w:tc>
          <w:tcPr/>
          <w:p>
            <w:pPr>
              <w:pStyle w:val="Compact"/>
              <w:spacing w:after="80"/>
              <w:jc w:val="right"/>
            </w:pPr>
            <w:r>
              <w:rPr>
                <w:sz w:val="18"/>
              </w:rPr>
              <w:t xml:space="preserve">57.94%</w:t>
            </w:r>
          </w:p>
        </w:tc>
        <w:tc>
          <w:tcPr/>
          <w:p>
            <w:pPr>
              <w:pStyle w:val="Compact"/>
              <w:spacing w:after="80"/>
              <w:jc w:val="right"/>
            </w:pPr>
            <w:r>
              <w:rPr>
                <w:sz w:val="18"/>
              </w:rPr>
              <w:t xml:space="preserve">59.89%</w:t>
            </w:r>
          </w:p>
        </w:tc>
        <w:tc>
          <w:tcPr/>
          <w:p>
            <w:pPr>
              <w:pStyle w:val="Compact"/>
              <w:spacing w:after="80"/>
              <w:jc w:val="right"/>
            </w:pPr>
            <w:r>
              <w:rPr>
                <w:sz w:val="18"/>
              </w:rPr>
              <w:t xml:space="preserve">65.36%</w:t>
            </w:r>
          </w:p>
        </w:tc>
        <w:tc>
          <w:tcPr/>
          <w:p>
            <w:pPr>
              <w:pStyle w:val="Compact"/>
              <w:spacing w:after="80"/>
              <w:jc w:val="right"/>
            </w:pPr>
            <w:r>
              <w:rPr>
                <w:sz w:val="18"/>
              </w:rPr>
              <w:t xml:space="preserve">+7.42 [2.49, 12.48] pp</w:t>
            </w:r>
          </w:p>
        </w:tc>
        <w:tc>
          <w:tcPr/>
          <w:p>
            <w:pPr>
              <w:pStyle w:val="Compact"/>
              <w:spacing w:after="80"/>
              <w:jc w:val="right"/>
            </w:pPr>
            <w:r>
              <w:rPr>
                <w:sz w:val="18"/>
              </w:rPr>
              <w:t xml:space="preserve">+5.47 [2.17, 8.91] pp</w:t>
            </w:r>
          </w:p>
        </w:tc>
      </w:tr>
      <w:tr>
        <w:tc>
          <w:tcPr/>
          <w:p>
            <w:pPr>
              <w:pStyle w:val="Compact"/>
              <w:spacing w:after="80"/>
              <w:jc w:val="left"/>
            </w:pPr>
            <w:r>
              <w:rPr>
                <w:sz w:val="18"/>
              </w:rPr>
              <w:t xml:space="preserve">All participants, secondary</w:t>
            </w:r>
          </w:p>
        </w:tc>
        <w:tc>
          <w:tcPr/>
          <w:p>
            <w:pPr>
              <w:pStyle w:val="Compact"/>
              <w:spacing w:after="80"/>
              <w:jc w:val="right"/>
            </w:pPr>
            <w:r>
              <w:rPr>
                <w:sz w:val="18"/>
              </w:rPr>
              <w:t xml:space="preserve">18</w:t>
            </w:r>
          </w:p>
        </w:tc>
        <w:tc>
          <w:tcPr/>
          <w:p>
            <w:pPr>
              <w:pStyle w:val="Compact"/>
              <w:spacing w:after="80"/>
              <w:jc w:val="right"/>
            </w:pPr>
            <w:r>
              <w:rPr>
                <w:sz w:val="18"/>
              </w:rPr>
              <w:t xml:space="preserve">58.62%</w:t>
            </w:r>
          </w:p>
        </w:tc>
        <w:tc>
          <w:tcPr/>
          <w:p>
            <w:pPr>
              <w:pStyle w:val="Compact"/>
              <w:spacing w:after="80"/>
              <w:jc w:val="right"/>
            </w:pPr>
            <w:r>
              <w:rPr>
                <w:sz w:val="18"/>
              </w:rPr>
              <w:t xml:space="preserve">61.38%</w:t>
            </w:r>
          </w:p>
        </w:tc>
        <w:tc>
          <w:tcPr/>
          <w:p>
            <w:pPr>
              <w:pStyle w:val="Compact"/>
              <w:spacing w:after="80"/>
              <w:jc w:val="right"/>
            </w:pPr>
            <w:r>
              <w:rPr>
                <w:sz w:val="18"/>
              </w:rPr>
              <w:t xml:space="preserve">64.65%</w:t>
            </w:r>
          </w:p>
        </w:tc>
        <w:tc>
          <w:tcPr/>
          <w:p>
            <w:pPr>
              <w:pStyle w:val="Compact"/>
              <w:spacing w:after="80"/>
              <w:jc w:val="right"/>
            </w:pPr>
            <w:r>
              <w:rPr>
                <w:sz w:val="18"/>
              </w:rPr>
              <w:t xml:space="preserve">+6.03 pp</w:t>
            </w:r>
          </w:p>
        </w:tc>
        <w:tc>
          <w:tcPr/>
          <w:p>
            <w:pPr>
              <w:pStyle w:val="Compact"/>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The six-person development row remains separate from the primary cohort and includes its negative component mean.</w:t>
      </w:r>
    </w:p>
    <w:p>
      <w:pPr>
        <w:pStyle w:val="BodyText"/>
      </w:pPr>
      <w:r>
        <w:t xml:space="preserve">The component gain reflected 16.04 BA points of corrected errors against 10.57 points of newly introduced errors on the same query trials. Mean left- and right-class recall increased by 6.16 and 4.78 points, respectively. These recall intervals individually included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p>
      <w:pPr>
        <w:pStyle w:val="BodyText"/>
      </w:pPr>
      <w:r>
        <w:drawing>
          <wp:inline>
            <wp:extent cx="5334000" cy="2795185"/>
            <wp:effectExtent b="0" l="0" r="0" t="0"/>
            <wp:docPr descr="Figure 1" title="" id="32" name="Picture"/>
            <a:graphic>
              <a:graphicData uri="http://schemas.openxmlformats.org/drawingml/2006/picture">
                <pic:pic>
                  <pic:nvPicPr>
                    <pic:cNvPr descr="figures/Fig1_update_components.png" id="33" name="Picture"/>
                    <pic:cNvPicPr>
                      <a:picLocks noChangeArrowheads="1" noChangeAspect="1"/>
                    </pic:cNvPicPr>
                  </pic:nvPicPr>
                  <pic:blipFill>
                    <a:blip r:embed="rId31"/>
                    <a:stretch>
                      <a:fillRect/>
                    </a:stretch>
                  </pic:blipFill>
                  <pic:spPr bwMode="auto">
                    <a:xfrm>
                      <a:off x="0" y="0"/>
                      <a:ext cx="5334000" cy="2795185"/>
                    </a:xfrm>
                    <a:prstGeom prst="rect">
                      <a:avLst/>
                    </a:prstGeom>
                    <a:noFill/>
                    <a:ln w="9525">
                      <a:noFill/>
                      <a:headEnd/>
                      <a:tailEnd/>
                    </a:ln>
                  </pic:spPr>
                </pic:pic>
              </a:graphicData>
            </a:graphic>
          </wp:inline>
        </w:drawing>
      </w:r>
    </w:p>
    <w:p>
      <w:pPr>
        <w:pStyle w:val="BodyText"/>
      </w:pPr>
      <w:r>
        <w:rPr>
          <w:b/>
          <w:bCs/>
        </w:rPr>
        <w:t xml:space="preserve">Figure 1. Spatial-component evidence and strong-reference context.</w:t>
      </w:r>
      <w:r>
        <w:t xml:space="preserve"> </w:t>
      </w:r>
      <w:r>
        <w:t xml:space="preserve">Original primary-cohort component and total contrasts are displayed separately from the six-participant V2 budget profiles. Participant values, cohort means and participant-bootstrap intervals retain their original denominators and endpoint hierarchy. The original full-minus-LDA-only result compares matched labels; the V2 profiles compare separately versioned methods within the discovery cohort.</w:t>
      </w:r>
    </w:p>
    <w:bookmarkEnd w:id="34"/>
    <w:bookmarkStart w:id="35" w:name="Xdafc897e219783402c84ca3b110848a0a40ca9f"/>
    <w:p>
      <w:pPr>
        <w:pStyle w:val="Heading3"/>
      </w:pPr>
      <w:r>
        <w:t xml:space="preserve">EA-CSP provided a strong conventional reference</w:t>
      </w:r>
    </w:p>
    <w:p>
      <w:pPr>
        <w:pStyle w:val="FirstParagraph"/>
      </w:pPr>
      <w:r>
        <w:t xml:space="preserve">In the six-participant V2 extension at the 20-label cap, frozen classical decoding achieved 62.15% BA, LDA-only 67.30%, full CSP/LDA 68.65% and EA-CSP 70.37%. The covariance-mixture candidate achieved 69.24%. Its gain over frozen decoding was +7.09 points (4.12–11.55), but its prespecified comparison with EA-CSP was −1.14 points (−3.52–1.14). EA-CSP therefore provided the stronger conventional reference for the next experiment.</w:t>
      </w:r>
    </w:p>
    <w:p>
      <w:pPr>
        <w:pStyle w:val="BodyText"/>
      </w:pPr>
      <w:r>
        <w:t xml:space="preserve">These results motivated the source-fixed feature and component controls in V3.</w:t>
      </w:r>
    </w:p>
    <w:bookmarkEnd w:id="35"/>
    <w:bookmarkStart w:id="39" w:name="Xec716033d9fb495497d1014a38015ddbbc180ea"/>
    <w:p>
      <w:pPr>
        <w:pStyle w:val="Heading3"/>
      </w:pPr>
      <w:r>
        <w:t xml:space="preserve">Tangent refitting and EA-CSP gave higher geometric-decoder accuracy</w:t>
      </w:r>
    </w:p>
    <w:p>
      <w:pPr>
        <w:pStyle w:val="FirstParagraph"/>
      </w:pPr>
      <w:r>
        <w:t xml:space="preserve">At the cap of 20 labels, the geometric candidate achieved 64.68% BA, versus 67.01% for ordinary tangent refitting and 70.37% for saved EA-CSP. Its prespecified primary contrast was −2.33 points (−4.41 to −0.24), and its strong-reference contrast was −5.69 points (−9.30 to −2.22; Table 2). Five of six participant differences were negative in both comparisons. All five support-cap mean contrasts versus tangent refitting were negative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p>
      <w:pPr>
        <w:pStyle w:val="BodyText"/>
      </w:pPr>
      <w:r>
        <w:drawing>
          <wp:inline>
            <wp:extent cx="5334000" cy="3376185"/>
            <wp:effectExtent b="0" l="0" r="0" t="0"/>
            <wp:docPr descr="Figure 2" title="" id="37" name="Picture"/>
            <a:graphic>
              <a:graphicData uri="http://schemas.openxmlformats.org/drawingml/2006/picture">
                <pic:pic>
                  <pic:nvPicPr>
                    <pic:cNvPr descr="figures/Fig2_geometry.png" id="38" name="Picture"/>
                    <pic:cNvPicPr>
                      <a:picLocks noChangeArrowheads="1" noChangeAspect="1"/>
                    </pic:cNvPicPr>
                  </pic:nvPicPr>
                  <pic:blipFill>
                    <a:blip r:embed="rId36"/>
                    <a:stretch>
                      <a:fillRect/>
                    </a:stretch>
                  </pic:blipFill>
                  <pic:spPr bwMode="auto">
                    <a:xfrm>
                      <a:off x="0" y="0"/>
                      <a:ext cx="5334000" cy="3376185"/>
                    </a:xfrm>
                    <a:prstGeom prst="rect">
                      <a:avLst/>
                    </a:prstGeom>
                    <a:noFill/>
                    <a:ln w="9525">
                      <a:noFill/>
                      <a:headEnd/>
                      <a:tailEnd/>
                    </a:ln>
                  </pic:spPr>
                </pic:pic>
              </a:graphicData>
            </a:graphic>
          </wp:inline>
        </w:drawing>
      </w:r>
    </w:p>
    <w:p>
      <w:pPr>
        <w:pStyle w:val="BodyText"/>
      </w:pPr>
      <w:r>
        <w:rPr>
          <w:b/>
          <w:bCs/>
        </w:rPr>
        <w:t xml:space="preserve">Figure 2. Geometric candidate, matched controls and ablations.</w:t>
      </w:r>
      <w:r>
        <w:t xml:space="preserve"> </w:t>
      </w:r>
      <w:r>
        <w:t xml:space="preserve">Full support-budget profiles and cap-20 paired contrasts retain ordinary tangent refitting and EA-CSP as strong references. Ablations separate posterior mean estimation, prediction covariance, source-mean noise and common/contrast variation scales. All candidate-versus-ablation and strong-reference contrasts are displayed together; intervals use participant-bootstrap resampling.</w:t>
      </w:r>
    </w:p>
    <w:bookmarkEnd w:id="39"/>
    <w:bookmarkStart w:id="43"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produced eight single-class query predictions among 90 nested participant-by-seed-by-session outcomes, compared with 16 under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p>
      <w:pPr>
        <w:pStyle w:val="BodyText"/>
      </w:pPr>
      <w:r>
        <w:drawing>
          <wp:inline>
            <wp:extent cx="5334000" cy="2692316"/>
            <wp:effectExtent b="0" l="0" r="0" t="0"/>
            <wp:docPr descr="Figure 3" title="" id="41" name="Picture"/>
            <a:graphic>
              <a:graphicData uri="http://schemas.openxmlformats.org/drawingml/2006/picture">
                <pic:pic>
                  <pic:nvPicPr>
                    <pic:cNvPr descr="figures/Fig3_neural_normalization.png" id="42" name="Picture"/>
                    <pic:cNvPicPr>
                      <a:picLocks noChangeArrowheads="1" noChangeAspect="1"/>
                    </pic:cNvPicPr>
                  </pic:nvPicPr>
                  <pic:blipFill>
                    <a:blip r:embed="rId40"/>
                    <a:stretch>
                      <a:fillRect/>
                    </a:stretch>
                  </pic:blipFill>
                  <pic:spPr bwMode="auto">
                    <a:xfrm>
                      <a:off x="0" y="0"/>
                      <a:ext cx="5334000" cy="2692316"/>
                    </a:xfrm>
                    <a:prstGeom prst="rect">
                      <a:avLst/>
                    </a:prstGeom>
                    <a:noFill/>
                    <a:ln w="9525">
                      <a:noFill/>
                      <a:headEnd/>
                      <a:tailEnd/>
                    </a:ln>
                  </pic:spPr>
                </pic:pic>
              </a:graphicData>
            </a:graphic>
          </wp:inline>
        </w:drawing>
      </w:r>
    </w:p>
    <w:p>
      <w:pPr>
        <w:pStyle w:val="BodyText"/>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bookmarkEnd w:id="43"/>
    <w:bookmarkStart w:id="44"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 Weak source discrimination was already present before target-session transfer. The pooled-source target mean was lower in this architecture and training regime.</w:t>
      </w:r>
    </w:p>
    <w:p>
      <w:pPr>
        <w:pStyle w:val="BodyText"/>
      </w:pPr>
      <w:r>
        <w:t xml:space="preserve">The three pooled models selected epochs 14, 20 and 17 by validation loss. Their final training losses were approximately 0.20–0.22, while final validation losses were 0.91–0.96, above the selected validation losses near 0.68. These histories show training-loss reduction alongside weak held-out generalization within the source domain.</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44"/>
    <w:bookmarkStart w:id="48"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Thus, the probability-score improvement and classification endpoint moved differently (Figure 4).</w:t>
      </w:r>
    </w:p>
    <w:p>
      <w:pPr>
        <w:pStyle w:val="BodyText"/>
      </w:pPr>
      <w:r>
        <w:drawing>
          <wp:inline>
            <wp:extent cx="5334000" cy="5077927"/>
            <wp:effectExtent b="0" l="0" r="0" t="0"/>
            <wp:docPr descr="Figure 4" title="" id="46" name="Picture"/>
            <a:graphic>
              <a:graphicData uri="http://schemas.openxmlformats.org/drawingml/2006/picture">
                <pic:pic>
                  <pic:nvPicPr>
                    <pic:cNvPr descr="figures/Fig4_mechanisms.png" id="47" name="Picture"/>
                    <pic:cNvPicPr>
                      <a:picLocks noChangeArrowheads="1" noChangeAspect="1"/>
                    </pic:cNvPicPr>
                  </pic:nvPicPr>
                  <pic:blipFill>
                    <a:blip r:embed="rId45"/>
                    <a:stretch>
                      <a:fillRect/>
                    </a:stretch>
                  </pic:blipFill>
                  <pic:spPr bwMode="auto">
                    <a:xfrm>
                      <a:off x="0" y="0"/>
                      <a:ext cx="5334000" cy="5077927"/>
                    </a:xfrm>
                    <a:prstGeom prst="rect">
                      <a:avLst/>
                    </a:prstGeom>
                    <a:noFill/>
                    <a:ln w="9525">
                      <a:noFill/>
                      <a:headEnd/>
                      <a:tailEnd/>
                    </a:ln>
                  </pic:spPr>
                </pic:pic>
              </a:graphicData>
            </a:graphic>
          </wp:inline>
        </w:drawing>
      </w:r>
    </w:p>
    <w:p>
      <w:pPr>
        <w:pStyle w:val="BodyText"/>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bookmarkEnd w:id="48"/>
    <w:bookmarkStart w:id="52" w:name="X009f0f542f8674aff5b3ff877eb952a2336c86d"/>
    <w:p>
      <w:pPr>
        <w:pStyle w:val="Heading3"/>
      </w:pPr>
      <w:r>
        <w:t xml:space="preserve">Support-only alignment improved the external fixed-budget comparison</w:t>
      </w:r>
    </w:p>
    <w:p>
      <w:pPr>
        <w:pStyle w:val="FirstParagraph"/>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p>
      <w:pPr>
        <w:pStyle w:val="BodyText"/>
      </w:pPr>
      <w:r>
        <w:t xml:space="preserve">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p>
      <w:pPr>
        <w:pStyle w:val="BodyText"/>
      </w:pPr>
      <w:r>
        <w:drawing>
          <wp:inline>
            <wp:extent cx="5334000" cy="4436650"/>
            <wp:effectExtent b="0" l="0" r="0" t="0"/>
            <wp:docPr descr="Figure 5" title="" id="50" name="Picture"/>
            <a:graphic>
              <a:graphicData uri="http://schemas.openxmlformats.org/drawingml/2006/picture">
                <pic:pic>
                  <pic:nvPicPr>
                    <pic:cNvPr descr="figures/Fig5_external_validation.png" id="51" name="Picture"/>
                    <pic:cNvPicPr>
                      <a:picLocks noChangeArrowheads="1" noChangeAspect="1"/>
                    </pic:cNvPicPr>
                  </pic:nvPicPr>
                  <pic:blipFill>
                    <a:blip r:embed="rId49"/>
                    <a:stretch>
                      <a:fillRect/>
                    </a:stretch>
                  </pic:blipFill>
                  <pic:spPr bwMode="auto">
                    <a:xfrm>
                      <a:off x="0" y="0"/>
                      <a:ext cx="5334000" cy="4436650"/>
                    </a:xfrm>
                    <a:prstGeom prst="rect">
                      <a:avLst/>
                    </a:prstGeom>
                    <a:noFill/>
                    <a:ln w="9525">
                      <a:noFill/>
                      <a:headEnd/>
                      <a:tailEnd/>
                    </a:ln>
                  </pic:spPr>
                </pic:pic>
              </a:graphicData>
            </a:graphic>
          </wp:inline>
        </w:drawing>
      </w:r>
    </w:p>
    <w:p>
      <w:pPr>
        <w:pStyle w:val="BodyText"/>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52"/>
    <w:bookmarkEnd w:id="53"/>
    <w:bookmarkStart w:id="59" w:name="discussion"/>
    <w:p>
      <w:pPr>
        <w:pStyle w:val="Heading2"/>
      </w:pPr>
      <w:r>
        <w:t xml:space="preserve">Discussion</w:t>
      </w:r>
    </w:p>
    <w:bookmarkStart w:id="54" w:name="X321fb6ee669b04d9d182a4aeaad63a66664a081"/>
    <w:p>
      <w:pPr>
        <w:pStyle w:val="Heading3"/>
      </w:pPr>
      <w:r>
        <w:t xml:space="preserve">Matched-label analysis identifies the spatial contribution</w:t>
      </w:r>
    </w:p>
    <w:p>
      <w:pPr>
        <w:pStyle w:val="FirstParagraph"/>
      </w:pPr>
      <w:r>
        <w:t xml:space="preserve">The matched-label comparison identifies a substantial spatial-component gain. Full CSP/LDA refitting added 5.47 BA points beyond classifier-only recalibration in the original primary cohort and supplied 73.7% of the mean total improvement over freezing. Holding the fitting examples constant gives this result a clearer interpretation than an updated-versus-frozen comparison alone: the available labels supported a useful change in the spatial representation as well as in the class decision rule.</w:t>
      </w:r>
    </w:p>
    <w:p>
      <w:pPr>
        <w:pStyle w:val="BodyText"/>
      </w:pPr>
      <w:r>
        <w:t xml:space="preserve">The external experiment separates spatial refitting from alignment. With the same 20 current labels, ordinary full refitting was close to classifier-only recalibration, whereas support-only EA improved on full refitting in all nine participants. This places the original 5.47-point gain in context: its magnitude did not recur under the external data and implementation. An operation-level comparison, rather than a blanket instruction to update spatial filters, captures both findings. Acquisition, source budget, referencing and covariance estimators differed between datasets, so their individual contributions to this difference remain unresolved.</w:t>
      </w:r>
    </w:p>
    <w:p>
      <w:pPr>
        <w:pStyle w:val="BodyText"/>
      </w:pPr>
      <w:r>
        <w:t xml:space="preserve">The neural extension adds a complementary observation. At the final support cap, fixed-source BN during full weight adaptation outperformed adaptive BN in both initialization regimes, with fewer collapsed seed/session predictions. This contrasts with the successful CSP spatial update. The component analysis distinguishes a supervised spatial estimator from repeated normalization updates, making the observed gain attributable to a specific pipeline operation.</w:t>
      </w:r>
    </w:p>
    <w:p>
      <w:pPr>
        <w:pStyle w:val="BodyText"/>
      </w:pPr>
      <w:r>
        <w:t xml:space="preserve">The principal conventional result also has a direct trial-level explanation. The added spatial update corrected more class-balanced errors than it introduced, and its mean benefit involved both labels. Positive session means and participant-deletion summaries show that its cohort average was not supplied by a single participant or only one point in the session sequence. The participant and development-cohort results document variation around this positive primary-cohort mean.</w:t>
      </w:r>
    </w:p>
    <w:bookmarkEnd w:id="54"/>
    <w:bookmarkStart w:id="55"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These details distinguish our information regime from reports using abundant target-domain statistics or continuous online adaptation</w:t>
      </w:r>
      <w:r>
        <w:t xml:space="preserve"> </w:t>
      </w:r>
      <w:r>
        <w:t xml:space="preserve">[12, 13]</w:t>
      </w:r>
      <w:r>
        <w:t xml:space="preserve">. They also give a focused next hypothesis: when adaptation repeatedly revisits a short support run, normalization mode and exposure count should be controlled independently of label count. A follow-up can vary the BN update schedule while preserving the trained sources, support identities and comparison hierarchy.</w:t>
      </w:r>
    </w:p>
    <w:bookmarkEnd w:id="55"/>
    <w:bookmarkStart w:id="56" w:name="X9bea0190cc77cd693194f258d1988f8b13583d2"/>
    <w:p>
      <w:pPr>
        <w:pStyle w:val="Heading3"/>
      </w:pPr>
      <w:r>
        <w:t xml:space="preserve">Strong references guide estimator comparisons</w:t>
      </w:r>
    </w:p>
    <w:p>
      <w:pPr>
        <w:pStyle w:val="FirstParagraph"/>
      </w:pPr>
      <w:r>
        <w:t xml:space="preserve">EA-CSP had higher mean BA than the V2 covariance-mixture candidate and the V3 uncertainty-aware candidate. Ordinary tangent refitting also had higher BA in the candidate’s own feature family. EA-CSP and tangent refitting therefore provide practical references for evaluating additional adaptation machinery on these data.</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 The present evidence identifies their value through explicit information budgets and matched component comparisons.</w:t>
      </w:r>
    </w:p>
    <w:bookmarkEnd w:id="56"/>
    <w:bookmarkStart w:id="57"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The extension’s sources likewise showed weak held-out discrimination despite falling training losses. Source generalization therefore contributes to interpreting target performance alongside session transfer.</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57"/>
    <w:bookmarkStart w:id="58" w:name="scope-and-next-validation"/>
    <w:p>
      <w:pPr>
        <w:pStyle w:val="Heading3"/>
      </w:pPr>
      <w:r>
        <w:t xml:space="preserve">Scope and next validation</w:t>
      </w:r>
    </w:p>
    <w:p>
      <w:pPr>
        <w:pStyle w:val="FirstParagraph"/>
      </w:pPr>
      <w:r>
        <w:t xml:space="preserve">The study uses Kumar2024 and the independent BNCI2014-001 acquisition. The external dataset provides two days, whereas Kumar provides six sessions. The original primary hierarchy is retained; V2/V3, prediction transitions and sensitivity analyses used previously exposed data. The extension estimates are exploratory, conditional on the recorded source models and support schedules. Pooled teachers share participants and change source-label budgets; the independent sample remains the participant cohort.</w:t>
      </w:r>
    </w:p>
    <w:p>
      <w:pPr>
        <w:pStyle w:val="BodyText"/>
      </w:pPr>
      <w:r>
        <w:t xml:space="preserve">Kumar cue-anchored windows may contain cue, imagery, feedback or post-task activity. Phase-specific decoding requires original marker-level reconstruction. Amplitude-restricted queries retained positive spatial gains in eligible participants, while training/support artifacts and other query artifacts remain possible.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58"/>
    <w:bookmarkEnd w:id="59"/>
    <w:bookmarkStart w:id="60" w:name="conclusions"/>
    <w:p>
      <w:pPr>
        <w:pStyle w:val="Heading2"/>
      </w:pPr>
      <w:r>
        <w:t xml:space="preserve">Conclusions</w:t>
      </w:r>
    </w:p>
    <w:p>
      <w:pPr>
        <w:pStyle w:val="FirstParagraph"/>
      </w:pPr>
      <w:r>
        <w:t xml:space="preserve">Matched-label analysis identified different useful spatial operations across two datasets. In the original Kumar primary cohort, full refitting added 5.47 BA points beyond classifier-only recalibration and supplied 73.7% of the total mean gain over freezing. In BNCI2014-001, full refitting was close to classifier-only recalibration, while support-only EA added 5.65 points beyond full refitting and improved all nine participants. Short-run recalibration should therefore compare the spatial update itself under identical labels. Fixed source normalization reduced single-class neural predictions at the 20-label cap; complete budget profiles and strong geometric references delimit the additional mechanism results.</w:t>
      </w:r>
    </w:p>
    <w:bookmarkEnd w:id="60"/>
    <w:bookmarkStart w:id="61"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61"/>
    <w:bookmarkStart w:id="62" w:name="acknowledgments"/>
    <w:p>
      <w:pPr>
        <w:pStyle w:val="Heading2"/>
      </w:pPr>
      <w:r>
        <w:t xml:space="preserve">Acknowledgments</w:t>
      </w:r>
    </w:p>
    <w:p>
      <w:pPr>
        <w:pStyle w:val="FirstParagraph"/>
      </w:pPr>
      <w:r>
        <w:t xml:space="preserve">The author thanks the researchers who released Kumar2024 and BCI Competition IV 2a. OpenAI ChatGPT/Codex assisted with grammar and language revision, GitHub file organization and uploading, manuscript formatting, and verification of saved results. This work included assistance with analysis and plotting code, statistical reconstruction, and manuscript drafting and revision. The author is responsible for the content and interpretation.</w:t>
      </w:r>
    </w:p>
    <w:bookmarkEnd w:id="62"/>
    <w:bookmarkStart w:id="112" w:name="references"/>
    <w:p>
      <w:pPr>
        <w:pStyle w:val="Heading2"/>
      </w:pPr>
      <w:r>
        <w:t xml:space="preserve">References</w:t>
      </w:r>
    </w:p>
    <w:bookmarkStart w:id="111" w:name="refs"/>
    <w:bookmarkStart w:id="64"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63">
        <w:r>
          <w:rPr>
            <w:rStyle w:val="Hyperlink"/>
          </w:rPr>
          <w:t xml:space="preserve">10.1088/1741-2552/aab2f2</w:t>
        </w:r>
      </w:hyperlink>
    </w:p>
    <w:bookmarkEnd w:id="64"/>
    <w:bookmarkStart w:id="66"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65">
        <w:r>
          <w:rPr>
            <w:rStyle w:val="Hyperlink"/>
          </w:rPr>
          <w:t xml:space="preserve">10.1109/86.895946</w:t>
        </w:r>
      </w:hyperlink>
    </w:p>
    <w:bookmarkEnd w:id="66"/>
    <w:bookmarkStart w:id="68"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67">
        <w:r>
          <w:rPr>
            <w:rStyle w:val="Hyperlink"/>
          </w:rPr>
          <w:t xml:space="preserve">10.1109/msp.2008.4408441</w:t>
        </w:r>
      </w:hyperlink>
    </w:p>
    <w:bookmarkEnd w:id="68"/>
    <w:bookmarkStart w:id="70"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69">
        <w:r>
          <w:rPr>
            <w:rStyle w:val="Hyperlink"/>
          </w:rPr>
          <w:t xml:space="preserve">10.1109/TBME.2010.2093133</w:t>
        </w:r>
      </w:hyperlink>
    </w:p>
    <w:bookmarkEnd w:id="70"/>
    <w:bookmarkStart w:id="72"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71">
        <w:r>
          <w:rPr>
            <w:rStyle w:val="Hyperlink"/>
          </w:rPr>
          <w:t xml:space="preserve">10.1162/NECO_a_00474</w:t>
        </w:r>
      </w:hyperlink>
    </w:p>
    <w:bookmarkEnd w:id="72"/>
    <w:bookmarkStart w:id="74"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73">
        <w:r>
          <w:rPr>
            <w:rStyle w:val="Hyperlink"/>
          </w:rPr>
          <w:t xml:space="preserve">10.1016/j.compbiomed.2015.03.023</w:t>
        </w:r>
      </w:hyperlink>
    </w:p>
    <w:bookmarkEnd w:id="74"/>
    <w:bookmarkStart w:id="76"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75">
        <w:r>
          <w:rPr>
            <w:rStyle w:val="Hyperlink"/>
          </w:rPr>
          <w:t xml:space="preserve">10.1109/TBME.2019.2913914</w:t>
        </w:r>
      </w:hyperlink>
    </w:p>
    <w:bookmarkEnd w:id="76"/>
    <w:bookmarkStart w:id="78"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77">
        <w:r>
          <w:rPr>
            <w:rStyle w:val="Hyperlink"/>
          </w:rPr>
          <w:t xml:space="preserve">10.1109/TBME.2017.2742541</w:t>
        </w:r>
      </w:hyperlink>
    </w:p>
    <w:bookmarkEnd w:id="78"/>
    <w:bookmarkStart w:id="80"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79">
        <w:r>
          <w:rPr>
            <w:rStyle w:val="Hyperlink"/>
          </w:rPr>
          <w:t xml:space="preserve">10.1093/pnasnexus/pgae076</w:t>
        </w:r>
      </w:hyperlink>
    </w:p>
    <w:bookmarkEnd w:id="80"/>
    <w:bookmarkStart w:id="82"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81">
        <w:r>
          <w:rPr>
            <w:rStyle w:val="Hyperlink"/>
          </w:rPr>
          <w:t xml:space="preserve">10.1093/pnasnexus/pgae137</w:t>
        </w:r>
      </w:hyperlink>
    </w:p>
    <w:bookmarkEnd w:id="82"/>
    <w:bookmarkStart w:id="84"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83">
        <w:r>
          <w:rPr>
            <w:rStyle w:val="Hyperlink"/>
          </w:rPr>
          <w:t xml:space="preserve">https://arxiv.org/abs/2610.07420v1</w:t>
        </w:r>
      </w:hyperlink>
    </w:p>
    <w:bookmarkEnd w:id="84"/>
    <w:bookmarkStart w:id="86"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85">
        <w:r>
          <w:rPr>
            <w:rStyle w:val="Hyperlink"/>
          </w:rPr>
          <w:t xml:space="preserve">https://arxiv.org/abs/1603.04779</w:t>
        </w:r>
      </w:hyperlink>
    </w:p>
    <w:bookmarkEnd w:id="86"/>
    <w:bookmarkStart w:id="88"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87">
        <w:r>
          <w:rPr>
            <w:rStyle w:val="Hyperlink"/>
          </w:rPr>
          <w:t xml:space="preserve">10.1109/EMBC58623.2025.11253543</w:t>
        </w:r>
      </w:hyperlink>
    </w:p>
    <w:bookmarkEnd w:id="88"/>
    <w:bookmarkStart w:id="90"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89">
        <w:r>
          <w:rPr>
            <w:rStyle w:val="Hyperlink"/>
          </w:rPr>
          <w:t xml:space="preserve">https://proceedings.mlr.press/v80/li18a.html</w:t>
        </w:r>
      </w:hyperlink>
    </w:p>
    <w:bookmarkEnd w:id="90"/>
    <w:bookmarkStart w:id="92"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91">
        <w:r>
          <w:rPr>
            <w:rStyle w:val="Hyperlink"/>
          </w:rPr>
          <w:t xml:space="preserve">https://arxiv.org/abs/1606.09282</w:t>
        </w:r>
      </w:hyperlink>
    </w:p>
    <w:bookmarkEnd w:id="92"/>
    <w:bookmarkStart w:id="94"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93">
        <w:r>
          <w:rPr>
            <w:rStyle w:val="Hyperlink"/>
          </w:rPr>
          <w:t xml:space="preserve">https://proceedings.mlr.press/v37/schulman15.html</w:t>
        </w:r>
      </w:hyperlink>
    </w:p>
    <w:bookmarkEnd w:id="94"/>
    <w:bookmarkStart w:id="96"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95">
        <w:r>
          <w:rPr>
            <w:rStyle w:val="Hyperlink"/>
          </w:rPr>
          <w:t xml:space="preserve">10.82901/nemar.nm000177.v1.0.5</w:t>
        </w:r>
      </w:hyperlink>
    </w:p>
    <w:bookmarkEnd w:id="96"/>
    <w:bookmarkStart w:id="98"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97">
        <w:r>
          <w:rPr>
            <w:rStyle w:val="Hyperlink"/>
          </w:rPr>
          <w:t xml:space="preserve">10.3389/fnins.2012.00055</w:t>
        </w:r>
      </w:hyperlink>
    </w:p>
    <w:bookmarkEnd w:id="98"/>
    <w:bookmarkStart w:id="100"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99">
        <w:r>
          <w:rPr>
            <w:rStyle w:val="Hyperlink"/>
          </w:rPr>
          <w:t xml:space="preserve">https://www.gov.cn/zhengce/zhengceku/2023-02/28/content_5743658.htm</w:t>
        </w:r>
      </w:hyperlink>
    </w:p>
    <w:bookmarkEnd w:id="100"/>
    <w:bookmarkStart w:id="102"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101">
        <w:r>
          <w:rPr>
            <w:rStyle w:val="Hyperlink"/>
          </w:rPr>
          <w:t xml:space="preserve">https://github.com/neurosatya/TransLearning/blob/548470542e63f97ab777684c1f5e4f1cace4b8ed/Dataset_Description.pdf</w:t>
        </w:r>
      </w:hyperlink>
    </w:p>
    <w:bookmarkEnd w:id="102"/>
    <w:bookmarkStart w:id="104"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103">
        <w:r>
          <w:rPr>
            <w:rStyle w:val="Hyperlink"/>
          </w:rPr>
          <w:t xml:space="preserve">10.1088/1741-2552/aadea0</w:t>
        </w:r>
      </w:hyperlink>
    </w:p>
    <w:bookmarkEnd w:id="104"/>
    <w:bookmarkStart w:id="106"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105">
        <w:r>
          <w:rPr>
            <w:rStyle w:val="Hyperlink"/>
          </w:rPr>
          <w:t xml:space="preserve">10.1016/s0047-259x(03)00096-4</w:t>
        </w:r>
      </w:hyperlink>
    </w:p>
    <w:bookmarkEnd w:id="106"/>
    <w:bookmarkStart w:id="108"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107">
        <w:r>
          <w:rPr>
            <w:rStyle w:val="Hyperlink"/>
          </w:rPr>
          <w:t xml:space="preserve">10.1088/1741-2552/aace8c</w:t>
        </w:r>
      </w:hyperlink>
    </w:p>
    <w:bookmarkEnd w:id="108"/>
    <w:bookmarkStart w:id="110"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109">
        <w:r>
          <w:rPr>
            <w:rStyle w:val="Hyperlink"/>
          </w:rPr>
          <w:t xml:space="preserve">10.1002/hbm.23730</w:t>
        </w:r>
      </w:hyperlink>
    </w:p>
    <w:bookmarkEnd w:id="110"/>
    <w:bookmarkEnd w:id="111"/>
    <w:bookmarkEnd w:id="112"/>
    <w:bookmarkStart w:id="113"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113"/>
    <w:bookmarkEnd w:id="114"/>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2026-10-27T06:53:07Z</dcterms:created>
  <dcterms:modified xsi:type="dcterms:W3CDTF">2026-10-27T06:53:07Z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