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author-review-draft"/>
    <w:p>
      <w:pPr>
        <w:pStyle w:val="Heading1"/>
      </w:pPr>
      <w:r>
        <w:t xml:space="preserve">Cover letter — author-review draft</w:t>
      </w:r>
    </w:p>
    <w:p>
      <w:pPr>
        <w:pStyle w:val="FirstParagraph"/>
      </w:pPr>
      <w:r>
        <w:t xml:space="preserve">Dear Professor Haueisen,</w:t>
      </w:r>
    </w:p>
    <w:p>
      <w:pPr>
        <w:pStyle w:val="BodyText"/>
      </w:pPr>
      <w:r>
        <w:t xml:space="preserve">Please consider my Research Article,</w:t>
      </w:r>
      <w:r>
        <w:t xml:space="preserve"> </w:t>
      </w:r>
      <w:r>
        <w:t xml:space="preserve">“</w:t>
      </w:r>
      <w:r>
        <w:t xml:space="preserve">Matched-label analysis identifies spatial refitting and alignment gains in motor-imagery EEG,</w:t>
      </w:r>
      <w:r>
        <w:t xml:space="preserve">”</w:t>
      </w:r>
      <w:r>
        <w:t xml:space="preserve"> </w:t>
      </w:r>
      <w:r>
        <w:t xml:space="preserve">for Biomedical Engineering / Biomedizinische Technik.</w:t>
      </w:r>
    </w:p>
    <w:p>
      <w:pPr>
        <w:pStyle w:val="BodyText"/>
      </w:pPr>
      <w:r>
        <w:t xml:space="preserve">The study addresses a practical biosignal-processing question: with approximately 20 labels from a new recording session, what additional value comes from relearning the spatial representation after the classifier has already been recalibrated using those same labels? In the predefined 12-participant cohort, full common-spatial-pattern/linear-discriminant-analysis refitting added 5.47 percentage points of balanced accuracy beyond classifier-only recalibration (95% participant-bootstrap interval 2.17–8.91). It accounted for 73.7% of the total mean improvement over frozen decoding. Trial-level prediction transitions and longitudinal participant analyses explain this component contribution.</w:t>
      </w:r>
    </w:p>
    <w:p>
      <w:pPr>
        <w:pStyle w:val="BodyText"/>
      </w:pPr>
      <w:r>
        <w:t xml:space="preserve">A fixed external comparison in nine BNCI2014-001 participants added support-only Euclidean alignment. Full refitting and classifier-only recalibration were close (+0.19 points; 95% interval −1.85 to 2.13); EA-CSP improved on full refitting by 5.65 points (3.15–8.70; Holm-adjusted p=0.01172), with positive differences in all nine participants. The contrast separates spatial refitting from alignment under identical target labels.</w:t>
      </w:r>
    </w:p>
    <w:p>
      <w:pPr>
        <w:pStyle w:val="BodyText"/>
      </w:pPr>
      <w:r>
        <w:t xml:space="preserve">Controlled discovery experiments on the six development participants extend the component question to neural normalization and finite-sample adaptation. At the 20-label cap, fixed-normalization weight adaptation was higher than adaptive normalization by 1.50–1.91 points across two source-model regimes. The full support-budget profiles and strong-comparator outcomes are reported alongside these results. The engineering contribution is a matched-label component analysis of where recalibration gains arise, supported by reproducible predictions, component controls and uncertainty estimates with participants as the independent units.</w:t>
      </w:r>
    </w:p>
    <w:p>
      <w:pPr>
        <w:pStyle w:val="BodyText"/>
      </w:pPr>
      <w:r>
        <w:t xml:space="preserve">The manuscript fits the journal’s biosignal-processing and neuro-engineering scope. Public data provenance, the regulatory basis for secondary use, code and data availability, and substantive AI assistance are documented in the separate ethical and legal declarations.</w:t>
      </w:r>
    </w:p>
    <w:p>
      <w:pPr>
        <w:pStyle w:val="BodyText"/>
      </w:pPr>
      <w:r>
        <w:rPr>
          <w:b/>
          <w:bCs/>
        </w:rPr>
        <w:t xml:space="preserve">To be completed by the author before submission:</w:t>
      </w:r>
      <w:r>
        <w:t xml:space="preserve"> </w:t>
      </w:r>
      <w:r>
        <w:t xml:space="preserve">confirmation that this new version is approved for submission and is not under consideration elsewhere, including the disposition of the earlier PLOS ONE record PONE-D-26-52050. At least five suitable reviewer suggestions must be supplied separately; no reviewer identities or contact details are invented 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Ziyuan Zhu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t xml:space="preserve">zzy2630816871@gmail.com</w:t>
      </w:r>
    </w:p>
    <w:p>
      <w:pPr>
        <w:pStyle w:val="BodyText"/>
      </w:pPr>
      <w:r>
        <w:t xml:space="preserve">ORCID: https://orcid.org/0009-0005-1153-4926</w:t>
      </w:r>
    </w:p>
    <w:bookmarkEnd w:id="20"/>
    <w:sectPr>
      <w:footerReference w:type="default" r:id="rId9"/>
      <w:pgSz w:w="11906" w:h="16838"/>
      <w:pgMar w:top="1134" w:bottom="1134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2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4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2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 w:after="120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2026-10-27T06:53:40Z</dcterms:created>
  <dcterms:modified xsi:type="dcterms:W3CDTF">2026-10-27T06:53:40Z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