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pPr>
      <w:r>
        <w:rPr>
          <w:rFonts w:ascii="Times New Roman" w:hAnsi="Times New Roman" w:cs="Times New Roman" w:eastAsia="Noto Serif CJK SC"/>
          <w:color w:val="000000"/>
          <w:sz w:val="36"/>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widowControl/>
      </w:pPr>
      <w:r>
        <w:rPr>
          <w:rFonts w:ascii="Times New Roman" w:hAnsi="Times New Roman" w:cs="Times New Roman" w:eastAsia="Noto Serif CJK SC"/>
          <w:color w:val="000000"/>
          <w:sz w:val="28"/>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primary participant averages, in all five target-session cohort averages and in every single-participant deletion summary. The secondary all-18 summary favored full refitting by 3.26 points over LDA-only and 6.03 over freezing.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pPr>
      <w:r>
        <w:rPr>
          <w:rFonts w:ascii="Times New Roman" w:hAnsi="Times New Roman" w:cs="Times New Roman" w:eastAsia="Noto Serif CJK SC"/>
          <w:color w:val="000000"/>
          <w:sz w:val="28"/>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pPr>
      <w:r>
        <w:rPr>
          <w:rFonts w:ascii="Times New Roman" w:hAnsi="Times New Roman" w:cs="Times New Roman" w:eastAsia="Noto Serif CJK SC"/>
          <w:color w:val="000000"/>
          <w:sz w:val="28"/>
        </w:rPr>
        <w:t xml:space="preserve">Materials and methods</w:t>
      </w:r>
    </w:p>
    <w:bookmarkStart w:id="22" w:name="data-source-and-ethics"/>
    <w:p>
      <w:pPr>
        <w:pStyle w:val="Heading2"/>
        <w:keepNext/>
        <w:widowControl/>
      </w:pPr>
      <w:r>
        <w:rPr>
          <w:rFonts w:ascii="Times New Roman" w:hAnsi="Times New Roman" w:cs="Times New Roman" w:eastAsia="Noto Serif CJK SC"/>
          <w:color w:val="000000"/>
          <w:sz w:val="25"/>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This secondary analysis was exempt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It used lawfully obtained publicly available data, caused no harm to participants, and did not involve sensitive personal information or commercial interests.</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S2 Text.</w:t>
      </w:r>
    </w:p>
    <w:bookmarkEnd w:id="22"/>
    <w:bookmarkStart w:id="23" w:name="X473d26ff6bf14b7ce58d39e1eb7e084b6773ec0"/>
    <w:p>
      <w:pPr>
        <w:pStyle w:val="Heading2"/>
        <w:keepNext/>
        <w:widowControl/>
      </w:pPr>
      <w:r>
        <w:rPr>
          <w:rFonts w:ascii="Times New Roman" w:hAnsi="Times New Roman" w:cs="Times New Roman" w:eastAsia="Noto Serif CJK SC"/>
          <w:color w:val="000000"/>
          <w:sz w:val="25"/>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selected at every third numeric identifier, formed the predefined development group for calibration-reliability probes and pipeline verification. The remaining 12 formed the predefined primary cohort. Both cohorts used the same fixed four-component CSP, Ledoit–Wolf regularization and automatic-shrinkage LDA configuration; the primary-cohort results were not used to tune these settings.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pPr>
      <w:r>
        <w:rPr>
          <w:rFonts w:ascii="Times New Roman" w:hAnsi="Times New Roman" w:cs="Times New Roman" w:eastAsia="Noto Serif CJK SC"/>
          <w:color w:val="000000"/>
          <w:sz w:val="25"/>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pPr>
      <w:r>
        <w:rPr>
          <w:rFonts w:ascii="Times New Roman" w:hAnsi="Times New Roman" w:cs="Times New Roman" w:eastAsia="Noto Serif CJK SC"/>
          <w:color w:val="000000"/>
          <w:sz w:val="25"/>
        </w:rPr>
        <w:t xml:space="preserve">Decoders and label budgets</w:t>
      </w:r>
    </w:p>
    <w:p>
      <w:pPr>
        <w:pStyle w:val="FirstParagraph"/>
        <w:widowControl/>
      </w:pPr>
      <w:r>
        <w:t xml:space="preserve">The CSP/LDA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CSP/LDA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CSP/LDA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pPr>
      <w:r>
        <w:rPr>
          <w:bCs/>
          <w:b/>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CSP/LDA update methods share the adaptation budget. Their comparison with freezing measures the benefit of adding support labels and refitting the specified components. Frozen EEGNet supplies a source-only neural reference with the additional validation budget shown in Table 1. Target-session neural fine-tuning would add layer-freezing and learning-rate choices for 19 or 20 support trials; retaining the frozen reference keeps the adaptation comparison focused on the CSP and LDA stages. S1 Text, S3 gives the complete implementation settings.</w:t>
      </w:r>
    </w:p>
    <w:bookmarkEnd w:id="25"/>
    <w:bookmarkStart w:id="26" w:name="endpoints-and-statistical-analysis"/>
    <w:p>
      <w:pPr>
        <w:pStyle w:val="Heading2"/>
        <w:keepNext/>
        <w:widowControl/>
      </w:pPr>
      <w:r>
        <w:rPr>
          <w:rFonts w:ascii="Times New Roman" w:hAnsi="Times New Roman" w:cs="Times New Roman" w:eastAsia="Noto Serif CJK SC"/>
          <w:color w:val="000000"/>
          <w:sz w:val="25"/>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Amplitude-QC sensitivity, participant-influence and exact sign-flip checks were post-hoc exploratory analyses conducted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pPr>
      <w:r>
        <w:rPr>
          <w:rFonts w:ascii="Times New Roman" w:hAnsi="Times New Roman" w:cs="Times New Roman" w:eastAsia="Noto Serif CJK SC"/>
          <w:color w:val="000000"/>
          <w:sz w:val="25"/>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pPr>
      <w:r>
        <w:rPr>
          <w:rFonts w:ascii="Times New Roman" w:hAnsi="Times New Roman" w:cs="Times New Roman" w:eastAsia="Noto Serif CJK SC"/>
          <w:color w:val="000000"/>
          <w:sz w:val="25"/>
        </w:rPr>
        <w:t xml:space="preserve">Task measurements and calibration reliability</w:t>
      </w:r>
    </w:p>
    <w:p>
      <w:pPr>
        <w:pStyle w:val="FirstParagraph"/>
        <w:widowControl/>
      </w:pPr>
      <w:r>
        <w:t xml:space="preserve">We assessed whether signal-distribution changes tracked changes in frozen-decoder BA. The task-axis measure was the one-dimensional Wasserstein distance between source-query and target-query projections onto the source-trained, normalized right-minus-left class direction in standardized 44-dimensional mu/beta log-power coordinates (8–13 and 13–30 Hz). For covariance-shape drift, each epoch’s covariance matrix was trace-normalized and shrinkage-regularized in a fixed 21-dimensional common-average-reference basis. We subtracted the source-query mean Riemannian distance to the source-training reference from the target-query mean distance to that same reference. Both predictors used target signals without target labels; labels entered the BA outcome.</w:t>
      </w:r>
    </w:p>
    <w:p>
      <w:pPr>
        <w:pStyle w:val="BodyText"/>
        <w:widowControl/>
      </w:pPr>
      <w:r>
        <w:t xml:space="preserve">The outcome was target-minus-source frozen-decoder BA across the primary cohort’s 60 target sessions. Spearman associations pooled within- and between-participant variation and shared a source-query reference across each participant’s five target sessions. We used 2,000 participant-block bootstrap resamples to preserve that clustering. These query-distribution associations were descriptive analyses, separate from update-policy selection.</w:t>
      </w:r>
    </w:p>
    <w:p>
      <w:pPr>
        <w:pStyle w:val="BodyText"/>
        <w:widowControl/>
      </w:pPr>
      <w:r>
        <w:t xml:space="preserve">Development-only reliability probes used source training and current support to examine the task information available from short calibration runs. Three low-dimensional probes used standardized 44-dimensional mu/beta log power, four source-fitted principal components, or six C3/Cz/C4 mu/beta coordinates, each classified using the right-minus-left class-centroid axis and midpoint threshold. A fourth probe used supervised four-component CSP/LDA. Each source-run probe trained on one 20-event run and evaluated the other, then reversed the roles. Standardization, PCA, CSP and LDA were fitted within the training fold as applicable.</w:t>
      </w:r>
    </w:p>
    <w:p>
      <w:pPr>
        <w:pStyle w:val="BodyText"/>
        <w:widowControl/>
      </w:pPr>
      <w:r>
        <w:t xml:space="preserve">For the supervised cyclic-label controls, each of six participants contributed two source-run folds and 20 training-label rotations, giving 6 × 2 × 20 = 240 fitted CSP/LDA pipelines. Held-out label rotations entered scoring only, yielding all 20 × 20 joint label-phase pairs per participant. These controls measured sensitivity to label alignment.</w:t>
      </w:r>
    </w:p>
    <w:p>
      <w:pPr>
        <w:pStyle w:val="BodyText"/>
        <w:widowControl/>
      </w:pPr>
      <w:r>
        <w:t xml:space="preserve">Support measurements retained the models fitted on 40 source-training events. Within each of the 30 development target-support runs, each class was divided chronologically into first and second halves. The cosine between their right-minus-left vectors measured agreement in the four-dimensional CSP log-power space standardized on source training. Signed task orientation was the mean right-minus-left frozen LDA score within each half divided by twice the source-training score standard deviation. Positive values indicated the source class orientation and negative values its reversal. Source transforms and score scales remained fixed. S1 Text, S4–S6 specifies half sizes, controls and degenerate cases.</w:t>
      </w:r>
    </w:p>
    <w:bookmarkEnd w:id="28"/>
    <w:bookmarkStart w:id="29" w:name="Xa0ba60043791b598e6006cd24921f119c51e500"/>
    <w:p>
      <w:pPr>
        <w:pStyle w:val="Heading2"/>
        <w:keepNext/>
        <w:widowControl/>
      </w:pPr>
      <w:r>
        <w:rPr>
          <w:rFonts w:ascii="Times New Roman" w:hAnsi="Times New Roman" w:cs="Times New Roman" w:eastAsia="Noto Serif CJK SC"/>
          <w:color w:val="000000"/>
          <w:sz w:val="25"/>
        </w:rPr>
        <w:t xml:space="preserve">Prediction-transition and component-consistency analyses</w:t>
      </w:r>
    </w:p>
    <w:p>
      <w:pPr>
        <w:pStyle w:val="FirstParagraph"/>
        <w:widowControl/>
      </w:pPr>
      <w:r>
        <w:t xml:space="preserve">We added an exploratory analysis of the saved CSP/LDA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pPr>
      <w:r>
        <w:rPr>
          <w:rFonts w:ascii="Times New Roman" w:hAnsi="Times New Roman" w:cs="Times New Roman" w:eastAsia="Noto Serif CJK SC"/>
          <w:color w:val="000000"/>
          <w:sz w:val="25"/>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exact trial-identifier matching and file checksums, reconstruction of the original endpoints from saved predictions, independent implementations of the prediction-transition arithmetic, reproduction of saved-result calculations from the shared predictions and trial metadata, and visual review of the documents and figures. The software and editorial checks were AI-assisted. The author is responsible for the manuscript’s content.</w:t>
      </w:r>
    </w:p>
    <w:bookmarkEnd w:id="30"/>
    <w:bookmarkEnd w:id="31"/>
    <w:bookmarkStart w:id="58" w:name="results"/>
    <w:p>
      <w:pPr>
        <w:pStyle w:val="Heading1"/>
        <w:keepNext/>
        <w:widowControl/>
      </w:pPr>
      <w:r>
        <w:rPr>
          <w:rFonts w:ascii="Times New Roman" w:hAnsi="Times New Roman" w:cs="Times New Roman" w:eastAsia="Noto Serif CJK SC"/>
          <w:color w:val="000000"/>
          <w:sz w:val="28"/>
        </w:rPr>
        <w:t xml:space="preserve">Results</w:t>
      </w:r>
    </w:p>
    <w:bookmarkStart w:id="35" w:name="X83077121878abf7114fde989a557bf381ddddaa"/>
    <w:p>
      <w:pPr>
        <w:pStyle w:val="Heading2"/>
        <w:keepNext/>
        <w:widowControl/>
      </w:pPr>
      <w:r>
        <w:rPr>
          <w:rFonts w:ascii="Times New Roman" w:hAnsi="Times New Roman" w:cs="Times New Roman" w:eastAsia="Noto Serif CJK SC"/>
          <w:color w:val="000000"/>
          <w:sz w:val="25"/>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pPr>
      <w:r>
        <w:rPr>
          <w:bCs/>
          <w:b/>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after="100" w:line="240" w:lineRule="auto"/>
        <w:jc w:val="center"/>
      </w:pPr>
      <w:r>
        <w:drawing>
          <wp:inline>
            <wp:extent cx="5577840" cy="3346704"/>
            <wp:effectExtent b="0" l="0" r="0" t="0"/>
            <wp:docPr descr="Fig 1" title="" id="33" name="Picture"/>
            <a:graphic>
              <a:graphicData uri="http://schemas.openxmlformats.org/drawingml/2006/picture">
                <pic:pic>
                  <pic:nvPicPr>
                    <pic:cNvPr descr="figures/plos_innovation_20261017/Fig1_target_query_participants.png" id="34" name="Picture"/>
                    <pic:cNvPicPr>
                      <a:picLocks noChangeArrowheads="1" noChangeAspect="1"/>
                    </pic:cNvPicPr>
                  </pic:nvPicPr>
                  <pic:blipFill>
                    <a:blip r:embed="rId32"/>
                    <a:stretch>
                      <a:fillRect/>
                    </a:stretch>
                  </pic:blipFill>
                  <pic:spPr bwMode="auto">
                    <a:xfrm>
                      <a:off x="0" y="0"/>
                      <a:ext cx="5577840" cy="3346704"/>
                    </a:xfrm>
                    <a:prstGeom prst="rect">
                      <a:avLst/>
                    </a:prstGeom>
                    <a:noFill/>
                    <a:ln w="9525">
                      <a:noFill/>
                      <a:headEnd/>
                      <a:tailEnd/>
                    </a:ln>
                  </pic:spPr>
                </pic:pic>
              </a:graphicData>
            </a:graphic>
          </wp:inline>
        </w:drawing>
      </w:r>
    </w:p>
    <w:p>
      <w:pPr>
        <w:pStyle w:val="BodyText"/>
        <w:keepNext/>
        <w:widowControl/>
        <w:spacing w:before="160"/>
      </w:pPr>
      <w:r>
        <w:rPr>
          <w:bCs/>
          <w:b/>
        </w:rPr>
        <w:t xml:space="preserve">Fig 1. Target-query decoding by participant.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CSP/LDA updating methods used identical source-training and current-support labels; the other information budgets are given in Table 1.</w:t>
      </w:r>
    </w:p>
    <w:bookmarkEnd w:id="35"/>
    <w:bookmarkStart w:id="39" w:name="X25c08cc7dec06c82acbb80252e7439e76854817"/>
    <w:p>
      <w:pPr>
        <w:pStyle w:val="Heading2"/>
        <w:keepNext/>
        <w:widowControl/>
      </w:pPr>
      <w:r>
        <w:rPr>
          <w:rFonts w:ascii="Times New Roman" w:hAnsi="Times New Roman" w:cs="Times New Roman" w:eastAsia="Noto Serif CJK SC"/>
          <w:color w:val="000000"/>
          <w:sz w:val="25"/>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after="100" w:line="240" w:lineRule="auto"/>
        <w:jc w:val="center"/>
      </w:pPr>
      <w:r>
        <w:drawing>
          <wp:inline>
            <wp:extent cx="5577840" cy="3941673"/>
            <wp:effectExtent b="0" l="0" r="0" t="0"/>
            <wp:docPr descr="Fig 2" title="" id="37" name="Picture"/>
            <a:graphic>
              <a:graphicData uri="http://schemas.openxmlformats.org/drawingml/2006/picture">
                <pic:pic>
                  <pic:nvPicPr>
                    <pic:cNvPr descr="figures/plos_innovation_20261017/Fig2_cpu_primary_paired_changes.png" id="38" name="Picture"/>
                    <pic:cNvPicPr>
                      <a:picLocks noChangeArrowheads="1" noChangeAspect="1"/>
                    </pic:cNvPicPr>
                  </pic:nvPicPr>
                  <pic:blipFill>
                    <a:blip r:embed="rId36"/>
                    <a:stretch>
                      <a:fillRect/>
                    </a:stretch>
                  </pic:blipFill>
                  <pic:spPr bwMode="auto">
                    <a:xfrm>
                      <a:off x="0" y="0"/>
                      <a:ext cx="5577840" cy="3941673"/>
                    </a:xfrm>
                    <a:prstGeom prst="rect">
                      <a:avLst/>
                    </a:prstGeom>
                    <a:noFill/>
                    <a:ln w="9525">
                      <a:noFill/>
                      <a:headEnd/>
                      <a:tailEnd/>
                    </a:ln>
                  </pic:spPr>
                </pic:pic>
              </a:graphicData>
            </a:graphic>
          </wp:inline>
        </w:drawing>
      </w:r>
    </w:p>
    <w:p>
      <w:pPr>
        <w:pStyle w:val="BodyText"/>
        <w:keepNext/>
        <w:widowControl/>
        <w:spacing w:before="160"/>
      </w:pPr>
      <w:r>
        <w:rPr>
          <w:bCs/>
          <w:b/>
        </w:rPr>
        <w:t xml:space="preserve">Fig 2. Full-refit gain over frozen decoding in the primary cohort.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9"/>
    <w:bookmarkStart w:id="40" w:name="X1e836009005e4ef7ad9702a326cbe4aeb4fcc4e"/>
    <w:p>
      <w:pPr>
        <w:pStyle w:val="Heading2"/>
        <w:keepNext/>
        <w:widowControl/>
      </w:pPr>
      <w:r>
        <w:rPr>
          <w:rFonts w:ascii="Times New Roman" w:hAnsi="Times New Roman" w:cs="Times New Roman" w:eastAsia="Noto Serif CJK SC"/>
          <w:color w:val="000000"/>
          <w:sz w:val="25"/>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CSP/LDA source-query BA was 65.00% (Table 3).</w:t>
      </w:r>
    </w:p>
    <w:p>
      <w:pPr>
        <w:pStyle w:val="BodyText"/>
        <w:keepNext/>
        <w:widowControl/>
        <w:spacing w:before="160"/>
      </w:pPr>
      <w:r>
        <w:rPr>
          <w:bCs/>
          <w:b/>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CSP/LDA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40"/>
    <w:bookmarkStart w:id="44" w:name="X8a2bf533e8cabe9902a40a523b888137903196f"/>
    <w:p>
      <w:pPr>
        <w:pStyle w:val="Heading2"/>
        <w:keepNext/>
        <w:widowControl/>
      </w:pPr>
      <w:r>
        <w:rPr>
          <w:rFonts w:ascii="Times New Roman" w:hAnsi="Times New Roman" w:cs="Times New Roman" w:eastAsia="Noto Serif CJK SC"/>
          <w:color w:val="000000"/>
          <w:sz w:val="25"/>
        </w:rPr>
        <w:t xml:space="preserve">Calibration agreement and task orientation carried distinct information</w:t>
      </w:r>
    </w:p>
    <w:p>
      <w:pPr>
        <w:pStyle w:val="FirstParagraph"/>
        <w:widowControl/>
      </w:pPr>
      <w:r>
        <w:t xml:space="preserve">In the primary cohort, covariance-shape drift and task-axis Wasserstein distance had Spearman associations of −0.007 (95% interval −0.505 to 0.438) and 0.197 (−0.240 to 0.518) with target-minus-source frozen BA change. These estimates did not establish a reliable relationship between either fixed drift summary and frozen-decoder performance loss.</w:t>
      </w:r>
    </w:p>
    <w:p>
      <w:pPr>
        <w:pStyle w:val="BodyText"/>
        <w:widowControl/>
      </w:pPr>
      <w:r>
        <w:t xml:space="preserve">The development source-run probes using standardized power, PCA and C3/Cz/C4 motor-band coordinates achieved mean BA of 51.67%, 50.00% and 54.17%, respectively, with all 95% intervals including 50%. Supervised CSP/LDA achieved 62.92% (52.50–71.67). The participant-averaged cosine between support-half vectors in the source-standardized CSP space was 0.295 (0.032–0.573). Among 30 support sessions, both signed LDA half-margins were positive in 19, both were negative in two, and the signs differed in nine (Fig 3). Five support sessions had single-class source-score predictions. The double-negative sessions show that agreement can coexist with reversed class orientation; the opposite-sign sessions show that the estimated orientation can change within a 19- or 20-trial support run. Subset agreement and class orientation therefore describe distinct aspects of calibration reliability.</w:t>
      </w:r>
    </w:p>
    <w:p>
      <w:pPr>
        <w:pStyle w:val="BodyText"/>
        <w:keepNext/>
        <w:widowControl/>
        <w:spacing w:before="160" w:after="100" w:line="240" w:lineRule="auto"/>
        <w:jc w:val="center"/>
      </w:pPr>
      <w:r>
        <w:drawing>
          <wp:inline>
            <wp:extent cx="5040000" cy="3695999"/>
            <wp:effectExtent b="0" l="0" r="0" t="0"/>
            <wp:docPr descr="Fig 3" title="" id="42" name="Picture"/>
            <a:graphic>
              <a:graphicData uri="http://schemas.openxmlformats.org/drawingml/2006/picture">
                <pic:pic>
                  <pic:nvPicPr>
                    <pic:cNvPr descr="figures/plos_innovation_20261017/Fig3_csp_signed_support_halves.png" id="43" name="Picture"/>
                    <pic:cNvPicPr>
                      <a:picLocks noChangeArrowheads="1" noChangeAspect="1"/>
                    </pic:cNvPicPr>
                  </pic:nvPicPr>
                  <pic:blipFill>
                    <a:blip r:embed="rId41"/>
                    <a:stretch>
                      <a:fillRect/>
                    </a:stretch>
                  </pic:blipFill>
                  <pic:spPr bwMode="auto">
                    <a:xfrm>
                      <a:off x="0" y="0"/>
                      <a:ext cx="5040000" cy="3695999"/>
                    </a:xfrm>
                    <a:prstGeom prst="rect">
                      <a:avLst/>
                    </a:prstGeom>
                    <a:noFill/>
                    <a:ln w="9525">
                      <a:noFill/>
                      <a:headEnd/>
                      <a:tailEnd/>
                    </a:ln>
                  </pic:spPr>
                </pic:pic>
              </a:graphicData>
            </a:graphic>
          </wp:inline>
        </w:drawing>
      </w:r>
    </w:p>
    <w:p>
      <w:pPr>
        <w:pStyle w:val="BodyText"/>
        <w:keepNext/>
        <w:widowControl/>
        <w:spacing w:before="160"/>
      </w:pPr>
      <w:r>
        <w:rPr>
          <w:bCs/>
          <w:b/>
        </w:rPr>
        <w:t xml:space="preserve">Fig 3. Task-score orientation across chronological support halves.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w:t>
      </w:r>
    </w:p>
    <w:bookmarkEnd w:id="44"/>
    <w:bookmarkStart w:id="48" w:name="X91442fda742b8c8cb5e589284550eecbe372b3e"/>
    <w:p>
      <w:pPr>
        <w:pStyle w:val="Heading2"/>
        <w:keepNext/>
        <w:widowControl/>
      </w:pPr>
      <w:r>
        <w:rPr>
          <w:rFonts w:ascii="Times New Roman" w:hAnsi="Times New Roman" w:cs="Times New Roman" w:eastAsia="Noto Serif CJK SC"/>
          <w:color w:val="000000"/>
          <w:sz w:val="25"/>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after="100" w:line="240" w:lineRule="auto"/>
        <w:jc w:val="center"/>
      </w:pPr>
      <w:r>
        <w:drawing>
          <wp:inline>
            <wp:extent cx="5577840" cy="5577840"/>
            <wp:effectExtent b="0" l="0" r="0" t="0"/>
            <wp:docPr descr="Fig 4" title="" id="46" name="Picture"/>
            <a:graphic>
              <a:graphicData uri="http://schemas.openxmlformats.org/drawingml/2006/picture">
                <pic:pic>
                  <pic:nvPicPr>
                    <pic:cNvPr descr="figures/plos_innovation_20261017/Fig4_longitudinal_paired_changes.png" id="47" name="Picture"/>
                    <pic:cNvPicPr>
                      <a:picLocks noChangeArrowheads="1" noChangeAspect="1"/>
                    </pic:cNvPicPr>
                  </pic:nvPicPr>
                  <pic:blipFill>
                    <a:blip r:embed="rId45"/>
                    <a:stretch>
                      <a:fillRect/>
                    </a:stretch>
                  </pic:blipFill>
                  <pic:spPr bwMode="auto">
                    <a:xfrm>
                      <a:off x="0" y="0"/>
                      <a:ext cx="5577840" cy="5577840"/>
                    </a:xfrm>
                    <a:prstGeom prst="rect">
                      <a:avLst/>
                    </a:prstGeom>
                    <a:noFill/>
                    <a:ln w="9525">
                      <a:noFill/>
                      <a:headEnd/>
                      <a:tailEnd/>
                    </a:ln>
                  </pic:spPr>
                </pic:pic>
              </a:graphicData>
            </a:graphic>
          </wp:inline>
        </w:drawing>
      </w:r>
    </w:p>
    <w:p>
      <w:pPr>
        <w:pStyle w:val="BodyText"/>
        <w:keepNext/>
        <w:widowControl/>
        <w:spacing w:before="160"/>
      </w:pPr>
      <w:r>
        <w:rPr>
          <w:bCs/>
          <w:b/>
        </w:rPr>
        <w:t xml:space="preserve">Fig 4. Session-level gains from full CSP/LDA refitting.</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pPr>
      <w:r>
        <w:rPr>
          <w:bCs/>
          <w:b/>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48"/>
    <w:bookmarkStart w:id="49" w:name="Xd01b9a761c254459382d8106ecd1eafb4d4818f"/>
    <w:p>
      <w:pPr>
        <w:pStyle w:val="Heading2"/>
        <w:keepNext/>
        <w:widowControl/>
      </w:pPr>
      <w:r>
        <w:rPr>
          <w:rFonts w:ascii="Times New Roman" w:hAnsi="Times New Roman" w:cs="Times New Roman" w:eastAsia="Noto Serif CJK SC"/>
          <w:color w:val="000000"/>
          <w:sz w:val="25"/>
        </w:rPr>
        <w:t xml:space="preserve">Paired statistical checks supported assessment of the component contrast</w:t>
      </w:r>
    </w:p>
    <w:p>
      <w:pPr>
        <w:pStyle w:val="FirstParagraph"/>
        <w:widowControl/>
      </w:pPr>
      <w:r>
        <w:t xml:space="preserve">The supplementary exact sign-flip checks are summarized in Table 5. The matched-label component contrast had an unadjusted two-sided p value of 0.01025 and a four-comparison Holm-adjusted value of 0.04102. The primary total-gain contrast had corresponding values of 0.01953 and 0.05859. Table 5 presents the complete four-contrast family in its original order.</w:t>
      </w:r>
    </w:p>
    <w:p>
      <w:pPr>
        <w:pStyle w:val="BodyText"/>
        <w:keepNext/>
        <w:widowControl/>
        <w:spacing w:before="160"/>
      </w:pPr>
      <w:r>
        <w:rPr>
          <w:bCs/>
          <w:b/>
        </w:rPr>
        <w:t xml:space="preserve">Table 5. Post-hoc exploratory participant-level exact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w:t>
      </w:r>
      <m:oMath>
        <m:sSup>
          <m:e>
            <m:r>
              <m:t>2</m:t>
            </m:r>
          </m:e>
          <m:sup>
            <m:r>
              <m:t>n</m:t>
            </m:r>
          </m:sup>
        </m:sSup>
      </m:oMath>
      <w:r>
        <w:t xml:space="preserve"> sign assignments were enumerated using the stated numerical tolerance. The percentile-bootstrap intervals summarize paired participant resampling, whereas the exact tests use a sign-symmetric null distribution and Holm adjustment addresses the four-contrast family, including the overlapping 12- and ten-participant sets. These distinct reference constructions explain why an interval excluding zero need not correspond to a Holm-adjusted p value below 0.05. For the unflagged ten-person contrast, the 95% bootstrap interval was 0.99–11.24 points and the unadjusted sign-flip p value was 0.07617.</w:t>
      </w:r>
    </w:p>
    <w:bookmarkEnd w:id="49"/>
    <w:bookmarkStart w:id="53" w:name="Xb2c0ededdf6c8e351a0a3ce0ff05ced4006f9f5"/>
    <w:p>
      <w:pPr>
        <w:pStyle w:val="Heading2"/>
        <w:keepNext/>
        <w:widowControl/>
      </w:pPr>
      <w:r>
        <w:rPr>
          <w:rFonts w:ascii="Times New Roman" w:hAnsi="Times New Roman" w:cs="Times New Roman" w:eastAsia="Noto Serif CJK SC"/>
          <w:color w:val="000000"/>
          <w:sz w:val="25"/>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after="100" w:line="240" w:lineRule="auto"/>
        <w:jc w:val="center"/>
      </w:pPr>
      <w:r>
        <w:drawing>
          <wp:inline>
            <wp:extent cx="5577840" cy="5205984"/>
            <wp:effectExtent b="0" l="0" r="0" t="0"/>
            <wp:docPr descr="Fig 5" title="" id="51" name="Picture"/>
            <a:graphic>
              <a:graphicData uri="http://schemas.openxmlformats.org/drawingml/2006/picture">
                <pic:pic>
                  <pic:nvPicPr>
                    <pic:cNvPr descr="figures/plos_innovation_20261017/Fig5_prediction_transitions.png" id="52" name="Picture"/>
                    <pic:cNvPicPr>
                      <a:picLocks noChangeArrowheads="1" noChangeAspect="1"/>
                    </pic:cNvPicPr>
                  </pic:nvPicPr>
                  <pic:blipFill>
                    <a:blip r:embed="rId50"/>
                    <a:stretch>
                      <a:fillRect/>
                    </a:stretch>
                  </pic:blipFill>
                  <pic:spPr bwMode="auto">
                    <a:xfrm>
                      <a:off x="0" y="0"/>
                      <a:ext cx="5577840" cy="5205984"/>
                    </a:xfrm>
                    <a:prstGeom prst="rect">
                      <a:avLst/>
                    </a:prstGeom>
                    <a:noFill/>
                    <a:ln w="9525">
                      <a:noFill/>
                      <a:headEnd/>
                      <a:tailEnd/>
                    </a:ln>
                  </pic:spPr>
                </pic:pic>
              </a:graphicData>
            </a:graphic>
          </wp:inline>
        </w:drawing>
      </w:r>
    </w:p>
    <w:p>
      <w:pPr>
        <w:pStyle w:val="BodyText"/>
        <w:keepNext/>
        <w:widowControl/>
        <w:spacing w:before="160"/>
      </w:pPr>
      <w:r>
        <w:rPr>
          <w:bCs/>
          <w:b/>
        </w:rPr>
        <w:t xml:space="preserve">Fig 5. Prediction changes underlying recalibration gains.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pPr>
      <w:r>
        <w:rPr>
          <w:bCs/>
          <w:b/>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53"/>
    <w:bookmarkStart w:id="57" w:name="Xf3b73fb4ffbad1eb97550c151e9621df430cb56"/>
    <w:p>
      <w:pPr>
        <w:pStyle w:val="Heading2"/>
        <w:keepNext/>
        <w:widowControl/>
      </w:pPr>
      <w:r>
        <w:rPr>
          <w:rFonts w:ascii="Times New Roman" w:hAnsi="Times New Roman" w:cs="Times New Roman" w:eastAsia="Noto Serif CJK SC"/>
          <w:color w:val="000000"/>
          <w:sz w:val="25"/>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after="100" w:line="240" w:lineRule="auto"/>
        <w:jc w:val="center"/>
      </w:pPr>
      <w:r>
        <w:drawing>
          <wp:inline>
            <wp:extent cx="5577840" cy="4759754"/>
            <wp:effectExtent b="0" l="0" r="0" t="0"/>
            <wp:docPr descr="Fig 6" title="" id="55" name="Picture"/>
            <a:graphic>
              <a:graphicData uri="http://schemas.openxmlformats.org/drawingml/2006/picture">
                <pic:pic>
                  <pic:nvPicPr>
                    <pic:cNvPr descr="figures/plos_innovation_20261017/Fig6_component_consistency.png" id="56" name="Picture"/>
                    <pic:cNvPicPr>
                      <a:picLocks noChangeArrowheads="1" noChangeAspect="1"/>
                    </pic:cNvPicPr>
                  </pic:nvPicPr>
                  <pic:blipFill>
                    <a:blip r:embed="rId54"/>
                    <a:stretch>
                      <a:fillRect/>
                    </a:stretch>
                  </pic:blipFill>
                  <pic:spPr bwMode="auto">
                    <a:xfrm>
                      <a:off x="0" y="0"/>
                      <a:ext cx="5577840" cy="4759754"/>
                    </a:xfrm>
                    <a:prstGeom prst="rect">
                      <a:avLst/>
                    </a:prstGeom>
                    <a:noFill/>
                    <a:ln w="9525">
                      <a:noFill/>
                      <a:headEnd/>
                      <a:tailEnd/>
                    </a:ln>
                  </pic:spPr>
                </pic:pic>
              </a:graphicData>
            </a:graphic>
          </wp:inline>
        </w:drawing>
      </w:r>
    </w:p>
    <w:p>
      <w:pPr>
        <w:pStyle w:val="BodyText"/>
        <w:keepNext/>
        <w:widowControl/>
        <w:spacing w:before="160"/>
      </w:pPr>
      <w:r>
        <w:rPr>
          <w:bCs/>
          <w:b/>
        </w:rPr>
        <w:t xml:space="preserve">Fig 6. Consistency of the spatial-update advantage.</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w:t>
      </w:r>
    </w:p>
    <w:bookmarkEnd w:id="57"/>
    <w:bookmarkEnd w:id="58"/>
    <w:bookmarkStart w:id="64" w:name="discussion"/>
    <w:p>
      <w:pPr>
        <w:pStyle w:val="Heading1"/>
        <w:keepNext/>
        <w:widowControl/>
      </w:pPr>
      <w:r>
        <w:rPr>
          <w:rFonts w:ascii="Times New Roman" w:hAnsi="Times New Roman" w:cs="Times New Roman" w:eastAsia="Noto Serif CJK SC"/>
          <w:color w:val="000000"/>
          <w:sz w:val="28"/>
        </w:rPr>
        <w:t xml:space="preserve">Discussion</w:t>
      </w:r>
    </w:p>
    <w:bookmarkStart w:id="59" w:name="X10ec23ba3bd2a9a2fab07e24d73634be2f9d3b7"/>
    <w:p>
      <w:pPr>
        <w:pStyle w:val="Heading2"/>
        <w:keepNext/>
        <w:widowControl/>
      </w:pPr>
      <w:r>
        <w:rPr>
          <w:rFonts w:ascii="Times New Roman" w:hAnsi="Times New Roman" w:cs="Times New Roman" w:eastAsia="Noto Serif CJK SC"/>
          <w:color w:val="000000"/>
          <w:sz w:val="25"/>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59"/>
    <w:bookmarkStart w:id="60" w:name="Xe2bb24e9090f809c8a274a14a21284245dde0d9"/>
    <w:p>
      <w:pPr>
        <w:pStyle w:val="Heading2"/>
        <w:keepNext/>
        <w:widowControl/>
      </w:pPr>
      <w:r>
        <w:rPr>
          <w:rFonts w:ascii="Times New Roman" w:hAnsi="Times New Roman" w:cs="Times New Roman" w:eastAsia="Noto Serif CJK SC"/>
          <w:color w:val="000000"/>
          <w:sz w:val="25"/>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60"/>
    <w:bookmarkStart w:id="61" w:name="X0c5a6d13a40a53475afcda63f1207c7348aa152"/>
    <w:p>
      <w:pPr>
        <w:pStyle w:val="Heading2"/>
        <w:keepNext/>
        <w:widowControl/>
      </w:pPr>
      <w:r>
        <w:rPr>
          <w:rFonts w:ascii="Times New Roman" w:hAnsi="Times New Roman" w:cs="Times New Roman" w:eastAsia="Noto Serif CJK SC"/>
          <w:color w:val="000000"/>
          <w:sz w:val="25"/>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Across all 18 participants, the secondary summary favored full refitting over LDA-only by 3.26 points and over freezing by 6.03 points. The component contrast was −1.15 points in development and +5.47 in the primary cohort. Session-level differences included a 37.50-point full-minus-LDA-only decrease for development participant sub-7 in session 2. Thus, the positive overall result coexisted with marked variation in which update performed best.</w:t>
      </w:r>
    </w:p>
    <w:p>
      <w:pPr>
        <w:pStyle w:val="BodyText"/>
        <w:widowControl/>
      </w:pPr>
      <w:r>
        <w:t xml:space="preserve">Both update methods pooled 40 source trials with 19 or 20 current-support trials without domain weighting, an approximately 2:1 source-to-target ratio. A short support run with unstable class structure could perturb a useful source spatial representation when CSP is refitted; a spatial shift could instead leave task information poorly represented by the frozen filters. These hypotheses can be tested by relating spatial-pattern stability to paired update gains. The results motivate a session-specific decision between freezing, classifier recalibration and full refitting. Weighted covariance blending, target-only refitting and Euclidean or Riemannian alignment offer distinct alternatives for a future comparison under matched label budgets.</w:t>
      </w:r>
    </w:p>
    <w:bookmarkEnd w:id="61"/>
    <w:bookmarkStart w:id="62" w:name="X12c05f12be89f7a1b90ea1a85687f193f3d213d"/>
    <w:p>
      <w:pPr>
        <w:pStyle w:val="Heading2"/>
        <w:keepNext/>
        <w:widowControl/>
      </w:pPr>
      <w:r>
        <w:rPr>
          <w:rFonts w:ascii="Times New Roman" w:hAnsi="Times New Roman" w:cs="Times New Roman" w:eastAsia="Noto Serif CJK SC"/>
          <w:color w:val="000000"/>
          <w:sz w:val="25"/>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62"/>
    <w:bookmarkStart w:id="63" w:name="scope-and-further-evaluation"/>
    <w:p>
      <w:pPr>
        <w:pStyle w:val="Heading2"/>
        <w:keepNext/>
        <w:widowControl/>
      </w:pPr>
      <w:r>
        <w:rPr>
          <w:rFonts w:ascii="Times New Roman" w:hAnsi="Times New Roman" w:cs="Times New Roman" w:eastAsia="Noto Serif CJK SC"/>
          <w:color w:val="000000"/>
          <w:sz w:val="25"/>
        </w:rPr>
        <w:t xml:space="preserve">Scope and further evaluation</w:t>
      </w:r>
    </w:p>
    <w:p>
      <w:pPr>
        <w:pStyle w:val="FirstParagraph"/>
        <w:widowControl/>
      </w:pPr>
      <w:r>
        <w:t xml:space="preserve">The five-second cue-anchored windows span the approximately 1.5-second visual cue and subsequent task activity, while variable online trial endings can place feedback or post-task activity within a complete window. Restricting evaluation to strictly task-anchored intervals would therefore address a different, phase-specific endpoint. The amplitude rule flagged 1,512 of 7,156 complete windows (21.1%); the query sensitivity retained positive mean gains after restricting evaluation to unflagged queries. This addresses large query amplitudes, with potential artifacts in training/support data remaining a separate issue.</w:t>
      </w:r>
    </w:p>
    <w:p>
      <w:pPr>
        <w:pStyle w:val="FirstParagraph"/>
        <w:widowControl/>
      </w:pPr>
      <w:r>
        <w:t xml:space="preserve">These comparisons use fourth-order zero-phase filtering for offline analysis, whereas closed-loop translation requires causal preprocessing and real-time artifact handling. Both update methods pooled source/support data without weighting to fix the information available for adaptation; covariance weighting and signal alignment would require their own controlled comparisons.</w:t>
      </w:r>
    </w:p>
    <w:p>
      <w:pPr>
        <w:pStyle w:val="FirstParagraph"/>
        <w:widowControl/>
      </w:pPr>
      <w:r>
        <w:t xml:space="preserve">The findings come from one 18-participant cohort, partitioned into six participants for reliability development and 12 for the primary comparison. The primary endpoint hierarchy and cohort split were predefined; prediction transitions, amplitude sensitivity, participant-influence summaries and exact sign-flip checks were conducted as post-hoc exploratory analyses after observing the original decoding results. EEGNet supplies a frozen source-only reference with 20 additional source-validation labels. Independent multi-session cohorts and prospective support-driven update selection would test how well the component advantage and calibration diagnostics generalize.</w:t>
      </w:r>
    </w:p>
    <w:bookmarkEnd w:id="63"/>
    <w:bookmarkEnd w:id="64"/>
    <w:bookmarkStart w:id="65" w:name="conclusions"/>
    <w:p>
      <w:pPr>
        <w:pStyle w:val="Heading1"/>
        <w:keepNext/>
        <w:widowControl/>
      </w:pPr>
      <w:r>
        <w:rPr>
          <w:rFonts w:ascii="Times New Roman" w:hAnsi="Times New Roman" w:cs="Times New Roman" w:eastAsia="Noto Serif CJK SC"/>
          <w:color w:val="000000"/>
          <w:sz w:val="28"/>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65"/>
    <w:bookmarkStart w:id="66" w:name="data-and-code-availability"/>
    <w:p>
      <w:pPr>
        <w:pStyle w:val="Heading1"/>
        <w:keepNext/>
        <w:widowControl/>
      </w:pPr>
      <w:r>
        <w:rPr>
          <w:rFonts w:ascii="Times New Roman" w:hAnsi="Times New Roman" w:cs="Times New Roman" w:eastAsia="Noto Serif CJK SC"/>
          <w:color w:val="000000"/>
          <w:sz w:val="28"/>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Analysis code, configuration files and reproducibility instructions are publicly available at https://github.com/jackzhu119/few-shot-mi-eeg. The versioned manuscript README identifies the fixed source revisions, prediction-transition scripts, figure-generation inputs and generated files. S1 Data archives the complete saved-result package together with the prediction-transition analyses and cohort summary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66"/>
    <w:bookmarkStart w:id="67" w:name="author-contributions-and-declarations"/>
    <w:p>
      <w:pPr>
        <w:pStyle w:val="Heading1"/>
        <w:keepNext/>
        <w:widowControl/>
      </w:pPr>
      <w:r>
        <w:rPr>
          <w:rFonts w:ascii="Times New Roman" w:hAnsi="Times New Roman" w:cs="Times New Roman" w:eastAsia="Noto Serif CJK SC"/>
          <w:color w:val="000000"/>
          <w:sz w:val="28"/>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67"/>
    <w:bookmarkStart w:id="68" w:name="acknowledgments"/>
    <w:p>
      <w:pPr>
        <w:pStyle w:val="Heading1"/>
        <w:keepNext/>
        <w:widowControl/>
      </w:pPr>
      <w:r>
        <w:rPr>
          <w:rFonts w:ascii="Times New Roman" w:hAnsi="Times New Roman" w:cs="Times New Roman" w:eastAsia="Noto Serif CJK SC"/>
          <w:color w:val="000000"/>
          <w:sz w:val="28"/>
        </w:rPr>
        <w:t xml:space="preserve">Acknowledgments</w:t>
      </w:r>
    </w:p>
    <w:p>
      <w:pPr>
        <w:pStyle w:val="FirstParagraph"/>
        <w:widowControl/>
      </w:pPr>
      <w:r>
        <w:t xml:space="preserve">The author acknowledges the researchers who made the Kumar2024 EEG records and accompanying documentation publicly available.</w:t>
      </w:r>
    </w:p>
    <w:bookmarkEnd w:id="68"/>
    <w:bookmarkStart w:id="108" w:name="references"/>
    <w:p>
      <w:pPr>
        <w:pStyle w:val="Heading1"/>
        <w:keepNext/>
        <w:widowControl/>
      </w:pPr>
      <w:r>
        <w:rPr>
          <w:rFonts w:ascii="Times New Roman" w:hAnsi="Times New Roman" w:cs="Times New Roman" w:eastAsia="Noto Serif CJK SC"/>
          <w:color w:val="000000"/>
          <w:sz w:val="28"/>
        </w:rPr>
        <w:t xml:space="preserve">References</w:t>
      </w:r>
    </w:p>
    <w:bookmarkStart w:id="107" w:name="refs"/>
    <w:bookmarkStart w:id="70" w:name="ref-lotte2018"/>
    <w:p>
      <w:pPr>
        <w:pStyle w:val="Bibliography"/>
        <w:widowControl/>
        <w:tabs>
          <w:tab w:pos="360" w:val="left"/>
        </w:tabs>
        <w:spacing w:line="252" w:lineRule="auto"/>
        <w:ind w:left="360" w:hanging="360"/>
      </w:pPr>
      <w:r>
        <w:rPr>
          <w:sz w:val="21"/>
        </w:rPr>
        <w:t xml:space="preserve">1.</w:t>
      </w:r>
      <w:r>
        <w:rPr>
          <w:sz w:val="21"/>
        </w:rPr>
        <w:t xml:space="preserve"> </w:t>
      </w:r>
      <w:r>
        <w:rPr>
          <w:sz w:val="21"/>
        </w:rPr>
        <w:t xml:space="preserve">	</w:t>
      </w:r>
      <w:r>
        <w:rPr>
          <w:sz w:val="21"/>
        </w:rPr>
        <w:t xml:space="preserve">Lotte F, Bougrain L, Cichocki A, Clerc M, Congedo M, Rakotomamonjy A, et al.</w:t>
      </w:r>
      <w:r>
        <w:rPr>
          <w:sz w:val="21"/>
        </w:rPr>
        <w:t xml:space="preserve"> </w:t>
      </w:r>
      <w:r>
        <w:rPr>
          <w:sz w:val="21"/>
        </w:rPr>
        <w:t xml:space="preserve">A review of classification algorithms for EEG-based brain–computer interfaces: a 10 year update</w:t>
      </w:r>
      <w:r>
        <w:rPr>
          <w:sz w:val="21"/>
        </w:rPr>
        <w:t xml:space="preserve">. J Neural Eng. 2018;15: 031005. doi:</w:t>
      </w:r>
      <w:hyperlink r:id="rId69">
        <w:r>
          <w:rPr>
            <w:rStyle w:val="Hyperlink"/>
          </w:rPr>
          <w:t xml:space="preserve">10.1088/1741-2552/aab2f2</w:t>
        </w:r>
      </w:hyperlink>
    </w:p>
    <w:bookmarkEnd w:id="70"/>
    <w:bookmarkStart w:id="72" w:name="ref-ramoser2000"/>
    <w:p>
      <w:pPr>
        <w:pStyle w:val="Bibliography"/>
        <w:widowControl/>
        <w:tabs>
          <w:tab w:pos="360" w:val="left"/>
        </w:tabs>
        <w:spacing w:line="252" w:lineRule="auto"/>
        <w:ind w:left="360" w:hanging="360"/>
      </w:pPr>
      <w:r>
        <w:rPr>
          <w:sz w:val="21"/>
        </w:rPr>
        <w:t xml:space="preserve">2.</w:t>
      </w:r>
      <w:r>
        <w:rPr>
          <w:sz w:val="21"/>
        </w:rPr>
        <w:t xml:space="preserve"> </w:t>
      </w:r>
      <w:r>
        <w:rPr>
          <w:sz w:val="21"/>
        </w:rPr>
        <w:t xml:space="preserve">	</w:t>
      </w:r>
      <w:r>
        <w:rPr>
          <w:sz w:val="21"/>
        </w:rPr>
        <w:t xml:space="preserve">Ramoser H, Muller-Gerking J, Pfurtscheller G.</w:t>
      </w:r>
      <w:r>
        <w:rPr>
          <w:sz w:val="21"/>
        </w:rPr>
        <w:t xml:space="preserve"> </w:t>
      </w:r>
      <w:r>
        <w:rPr>
          <w:sz w:val="21"/>
        </w:rPr>
        <w:t xml:space="preserve">Optimal spatial filtering of single trial EEG during imagined hand movement</w:t>
      </w:r>
      <w:r>
        <w:rPr>
          <w:sz w:val="21"/>
        </w:rPr>
        <w:t xml:space="preserve">. IEEE Trans Rehabil Eng. 2000;8: 441–446. doi:</w:t>
      </w:r>
      <w:hyperlink r:id="rId71">
        <w:r>
          <w:rPr>
            <w:rStyle w:val="Hyperlink"/>
          </w:rPr>
          <w:t xml:space="preserve">10.1109/86.895946</w:t>
        </w:r>
      </w:hyperlink>
    </w:p>
    <w:bookmarkEnd w:id="72"/>
    <w:bookmarkStart w:id="74" w:name="ref-blankertz2008"/>
    <w:p>
      <w:pPr>
        <w:pStyle w:val="Bibliography"/>
        <w:widowControl/>
        <w:tabs>
          <w:tab w:pos="360" w:val="left"/>
        </w:tabs>
        <w:spacing w:line="252" w:lineRule="auto"/>
        <w:ind w:left="360" w:hanging="360"/>
      </w:pPr>
      <w:r>
        <w:rPr>
          <w:sz w:val="21"/>
        </w:rPr>
        <w:t xml:space="preserve">3.</w:t>
      </w:r>
      <w:r>
        <w:rPr>
          <w:sz w:val="21"/>
        </w:rPr>
        <w:t xml:space="preserve"> </w:t>
      </w:r>
      <w:r>
        <w:rPr>
          <w:sz w:val="21"/>
        </w:rPr>
        <w:t xml:space="preserve">	</w:t>
      </w:r>
      <w:r>
        <w:rPr>
          <w:sz w:val="21"/>
        </w:rPr>
        <w:t xml:space="preserve">Blankertz B, Tomioka R, Lemm S, Kawanabe M, Muller K.</w:t>
      </w:r>
      <w:r>
        <w:rPr>
          <w:sz w:val="21"/>
        </w:rPr>
        <w:t xml:space="preserve"> </w:t>
      </w:r>
      <w:r>
        <w:rPr>
          <w:sz w:val="21"/>
        </w:rPr>
        <w:t xml:space="preserve">Optimizing Spatial filters for Robust EEG Single-Trial Analysis</w:t>
      </w:r>
      <w:r>
        <w:rPr>
          <w:sz w:val="21"/>
        </w:rPr>
        <w:t xml:space="preserve">. IEEE Signal Process Mag. 2008;25: 41–56. doi:</w:t>
      </w:r>
      <w:hyperlink r:id="rId73">
        <w:r>
          <w:rPr>
            <w:rStyle w:val="Hyperlink"/>
          </w:rPr>
          <w:t xml:space="preserve">10.1109/msp.2008.4408441</w:t>
        </w:r>
      </w:hyperlink>
    </w:p>
    <w:bookmarkEnd w:id="74"/>
    <w:bookmarkStart w:id="76" w:name="ref-vidaurre2011lda"/>
    <w:p>
      <w:pPr>
        <w:pStyle w:val="Bibliography"/>
        <w:widowControl/>
        <w:tabs>
          <w:tab w:pos="360" w:val="left"/>
        </w:tabs>
        <w:spacing w:line="252" w:lineRule="auto"/>
        <w:ind w:left="360" w:hanging="360"/>
      </w:pPr>
      <w:r>
        <w:rPr>
          <w:sz w:val="21"/>
        </w:rPr>
        <w:t xml:space="preserve">4.</w:t>
      </w:r>
      <w:r>
        <w:rPr>
          <w:sz w:val="21"/>
        </w:rPr>
        <w:t xml:space="preserve"> </w:t>
      </w:r>
      <w:r>
        <w:rPr>
          <w:sz w:val="21"/>
        </w:rPr>
        <w:t xml:space="preserve">	</w:t>
      </w:r>
      <w:r>
        <w:rPr>
          <w:sz w:val="21"/>
        </w:rPr>
        <w:t xml:space="preserve">Vidaurre C, Kawanabe M, Bünau P von, Blankertz B, Müller KR.</w:t>
      </w:r>
      <w:r>
        <w:rPr>
          <w:sz w:val="21"/>
        </w:rPr>
        <w:t xml:space="preserve"> </w:t>
      </w:r>
      <w:r>
        <w:rPr>
          <w:sz w:val="21"/>
        </w:rPr>
        <w:t xml:space="preserve">Toward Unsupervised Adaptation of LDA for Brain–Computer Interfaces</w:t>
      </w:r>
      <w:r>
        <w:rPr>
          <w:sz w:val="21"/>
        </w:rPr>
        <w:t xml:space="preserve">. IEEE Trans Biomed Eng. 2011;58: 587–597. doi:</w:t>
      </w:r>
      <w:hyperlink r:id="rId75">
        <w:r>
          <w:rPr>
            <w:rStyle w:val="Hyperlink"/>
          </w:rPr>
          <w:t xml:space="preserve">10.1109/TBME.2010.2093133</w:t>
        </w:r>
      </w:hyperlink>
    </w:p>
    <w:bookmarkEnd w:id="76"/>
    <w:bookmarkStart w:id="78" w:name="ref-arvaneh2013dsa"/>
    <w:p>
      <w:pPr>
        <w:pStyle w:val="Bibliography"/>
        <w:widowControl/>
        <w:tabs>
          <w:tab w:pos="360" w:val="left"/>
        </w:tabs>
        <w:spacing w:line="252" w:lineRule="auto"/>
        <w:ind w:left="360" w:hanging="360"/>
      </w:pPr>
      <w:r>
        <w:rPr>
          <w:sz w:val="21"/>
        </w:rPr>
        <w:t xml:space="preserve">5.</w:t>
      </w:r>
      <w:r>
        <w:rPr>
          <w:sz w:val="21"/>
        </w:rPr>
        <w:t xml:space="preserve"> </w:t>
      </w:r>
      <w:r>
        <w:rPr>
          <w:sz w:val="21"/>
        </w:rPr>
        <w:t xml:space="preserve">	</w:t>
      </w:r>
      <w:r>
        <w:rPr>
          <w:sz w:val="21"/>
        </w:rPr>
        <w:t xml:space="preserve">Arvaneh M, Guan C, Ang KK, Quek C.</w:t>
      </w:r>
      <w:r>
        <w:rPr>
          <w:sz w:val="21"/>
        </w:rPr>
        <w:t xml:space="preserve"> </w:t>
      </w:r>
      <w:r>
        <w:rPr>
          <w:sz w:val="21"/>
        </w:rPr>
        <w:t xml:space="preserve">EEG Data Space Adaptation to Reduce Intersession Nonstationarity in Brain-Computer Interface</w:t>
      </w:r>
      <w:r>
        <w:rPr>
          <w:sz w:val="21"/>
        </w:rPr>
        <w:t xml:space="preserve">. Neural Comput. 2013;25: 2146–2171. doi:</w:t>
      </w:r>
      <w:hyperlink r:id="rId77">
        <w:r>
          <w:rPr>
            <w:rStyle w:val="Hyperlink"/>
          </w:rPr>
          <w:t xml:space="preserve">10.1162/NECO_a_00474</w:t>
        </w:r>
      </w:hyperlink>
    </w:p>
    <w:bookmarkEnd w:id="78"/>
    <w:bookmarkStart w:id="80" w:name="ref-song2015acsp"/>
    <w:p>
      <w:pPr>
        <w:pStyle w:val="Bibliography"/>
        <w:widowControl/>
        <w:tabs>
          <w:tab w:pos="360" w:val="left"/>
        </w:tabs>
        <w:spacing w:line="252" w:lineRule="auto"/>
        <w:ind w:left="360" w:hanging="360"/>
      </w:pPr>
      <w:r>
        <w:rPr>
          <w:sz w:val="21"/>
        </w:rPr>
        <w:t xml:space="preserve">6.</w:t>
      </w:r>
      <w:r>
        <w:rPr>
          <w:sz w:val="21"/>
        </w:rPr>
        <w:t xml:space="preserve"> </w:t>
      </w:r>
      <w:r>
        <w:rPr>
          <w:sz w:val="21"/>
        </w:rPr>
        <w:t xml:space="preserve">	</w:t>
      </w:r>
      <w:r>
        <w:rPr>
          <w:sz w:val="21"/>
        </w:rPr>
        <w:t xml:space="preserve">Song X, Yoon S-C.</w:t>
      </w:r>
      <w:r>
        <w:rPr>
          <w:sz w:val="21"/>
        </w:rPr>
        <w:t xml:space="preserve"> </w:t>
      </w:r>
      <w:r>
        <w:rPr>
          <w:sz w:val="21"/>
        </w:rPr>
        <w:t xml:space="preserve">Improving brain-computer interface classification using adaptive common spatial patterns</w:t>
      </w:r>
      <w:r>
        <w:rPr>
          <w:sz w:val="21"/>
        </w:rPr>
        <w:t xml:space="preserve">. Comput Biol Med. 2015;61: 150–160. doi:</w:t>
      </w:r>
      <w:hyperlink r:id="rId79">
        <w:r>
          <w:rPr>
            <w:rStyle w:val="Hyperlink"/>
          </w:rPr>
          <w:t xml:space="preserve">10.1016/j.compbiomed.2015.03.023</w:t>
        </w:r>
      </w:hyperlink>
    </w:p>
    <w:bookmarkEnd w:id="80"/>
    <w:bookmarkStart w:id="82" w:name="ref-he2020alignment"/>
    <w:p>
      <w:pPr>
        <w:pStyle w:val="Bibliography"/>
        <w:widowControl/>
        <w:tabs>
          <w:tab w:pos="360" w:val="left"/>
        </w:tabs>
        <w:spacing w:line="252" w:lineRule="auto"/>
        <w:ind w:left="360" w:hanging="360"/>
      </w:pPr>
      <w:r>
        <w:rPr>
          <w:sz w:val="21"/>
        </w:rPr>
        <w:t xml:space="preserve">7.</w:t>
      </w:r>
      <w:r>
        <w:rPr>
          <w:sz w:val="21"/>
        </w:rPr>
        <w:t xml:space="preserve"> </w:t>
      </w:r>
      <w:r>
        <w:rPr>
          <w:sz w:val="21"/>
        </w:rPr>
        <w:t xml:space="preserve">	</w:t>
      </w:r>
      <w:r>
        <w:rPr>
          <w:sz w:val="21"/>
        </w:rPr>
        <w:t xml:space="preserve">He H, Wu D.</w:t>
      </w:r>
      <w:r>
        <w:rPr>
          <w:sz w:val="21"/>
        </w:rPr>
        <w:t xml:space="preserve"> </w:t>
      </w:r>
      <w:r>
        <w:rPr>
          <w:sz w:val="21"/>
        </w:rPr>
        <w:t xml:space="preserve">Transfer Learning for Brain–Computer Interfaces: A Euclidean Space Data Alignment Approach</w:t>
      </w:r>
      <w:r>
        <w:rPr>
          <w:sz w:val="21"/>
        </w:rPr>
        <w:t xml:space="preserve">. IEEE Trans Biomed Eng. 2020;67: 399–410. doi:</w:t>
      </w:r>
      <w:hyperlink r:id="rId81">
        <w:r>
          <w:rPr>
            <w:rStyle w:val="Hyperlink"/>
          </w:rPr>
          <w:t xml:space="preserve">10.1109/TBME.2019.2913914</w:t>
        </w:r>
      </w:hyperlink>
    </w:p>
    <w:bookmarkEnd w:id="82"/>
    <w:bookmarkStart w:id="84" w:name="ref-zanini2018alignment"/>
    <w:p>
      <w:pPr>
        <w:pStyle w:val="Bibliography"/>
        <w:widowControl/>
        <w:tabs>
          <w:tab w:pos="360" w:val="left"/>
        </w:tabs>
        <w:spacing w:line="252" w:lineRule="auto"/>
        <w:ind w:left="360" w:hanging="360"/>
      </w:pPr>
      <w:r>
        <w:rPr>
          <w:sz w:val="21"/>
        </w:rPr>
        <w:t xml:space="preserve">8.</w:t>
      </w:r>
      <w:r>
        <w:rPr>
          <w:sz w:val="21"/>
        </w:rPr>
        <w:t xml:space="preserve"> </w:t>
      </w:r>
      <w:r>
        <w:rPr>
          <w:sz w:val="21"/>
        </w:rPr>
        <w:t xml:space="preserve">	</w:t>
      </w:r>
      <w:r>
        <w:rPr>
          <w:sz w:val="21"/>
        </w:rPr>
        <w:t xml:space="preserve">Zanini P, Congedo M, Jutten C, Said S, Berthoumieu Y.</w:t>
      </w:r>
      <w:r>
        <w:rPr>
          <w:sz w:val="21"/>
        </w:rPr>
        <w:t xml:space="preserve"> </w:t>
      </w:r>
      <w:r>
        <w:rPr>
          <w:sz w:val="21"/>
        </w:rPr>
        <w:t xml:space="preserve">Transfer Learning: A Riemannian Geometry Framework With Applications to Brain–Computer Interfaces</w:t>
      </w:r>
      <w:r>
        <w:rPr>
          <w:sz w:val="21"/>
        </w:rPr>
        <w:t xml:space="preserve">. IEEE Trans Biomed Eng. 2018;65: 1107–1116. doi:</w:t>
      </w:r>
      <w:hyperlink r:id="rId83">
        <w:r>
          <w:rPr>
            <w:rStyle w:val="Hyperlink"/>
          </w:rPr>
          <w:t xml:space="preserve">10.1109/TBME.2017.2742541</w:t>
        </w:r>
      </w:hyperlink>
    </w:p>
    <w:bookmarkEnd w:id="84"/>
    <w:bookmarkStart w:id="86" w:name="ref-kumar2024"/>
    <w:p>
      <w:pPr>
        <w:pStyle w:val="Bibliography"/>
        <w:widowControl/>
        <w:tabs>
          <w:tab w:pos="360" w:val="left"/>
        </w:tabs>
        <w:spacing w:line="252" w:lineRule="auto"/>
        <w:ind w:left="360" w:hanging="360"/>
      </w:pPr>
      <w:r>
        <w:rPr>
          <w:sz w:val="21"/>
        </w:rPr>
        <w:t xml:space="preserve">9.</w:t>
      </w:r>
      <w:r>
        <w:rPr>
          <w:sz w:val="21"/>
        </w:rPr>
        <w:t xml:space="preserve"> </w:t>
      </w:r>
      <w:r>
        <w:rPr>
          <w:sz w:val="21"/>
        </w:rPr>
        <w:t xml:space="preserve">	</w:t>
      </w:r>
      <w:r>
        <w:rPr>
          <w:sz w:val="21"/>
        </w:rPr>
        <w:t xml:space="preserve">Kumar S, Alawieh H, Racz FS, Fakhreddine R, Millán J del R.</w:t>
      </w:r>
      <w:r>
        <w:rPr>
          <w:sz w:val="21"/>
        </w:rPr>
        <w:t xml:space="preserve"> </w:t>
      </w:r>
      <w:r>
        <w:rPr>
          <w:sz w:val="21"/>
        </w:rPr>
        <w:t xml:space="preserve">Transfer learning promotes acquisition of individual BCI skills</w:t>
      </w:r>
      <w:r>
        <w:rPr>
          <w:sz w:val="21"/>
        </w:rPr>
        <w:t xml:space="preserve">. PNAS Nexus. 2024;3: pgae076. doi:</w:t>
      </w:r>
      <w:hyperlink r:id="rId85">
        <w:r>
          <w:rPr>
            <w:rStyle w:val="Hyperlink"/>
          </w:rPr>
          <w:t xml:space="preserve">10.1093/pnasnexus/pgae076</w:t>
        </w:r>
      </w:hyperlink>
    </w:p>
    <w:bookmarkEnd w:id="86"/>
    <w:bookmarkStart w:id="88" w:name="ref-kumar2024correction"/>
    <w:p>
      <w:pPr>
        <w:pStyle w:val="Bibliography"/>
        <w:widowControl/>
        <w:tabs>
          <w:tab w:pos="360" w:val="left"/>
        </w:tabs>
        <w:spacing w:line="252" w:lineRule="auto"/>
        <w:ind w:left="360" w:hanging="360"/>
      </w:pPr>
      <w:r>
        <w:rPr>
          <w:sz w:val="21"/>
        </w:rPr>
        <w:t xml:space="preserve">10.</w:t>
      </w:r>
      <w:r>
        <w:rPr>
          <w:sz w:val="21"/>
        </w:rPr>
        <w:t xml:space="preserve"> </w:t>
      </w:r>
      <w:r>
        <w:rPr>
          <w:sz w:val="21"/>
        </w:rPr>
        <w:t xml:space="preserve">	</w:t>
      </w:r>
      <w:r>
        <w:rPr>
          <w:sz w:val="21"/>
        </w:rPr>
        <w:t xml:space="preserve">Correction to: Transfer learning promotes acquisition of individual BCI skills</w:t>
      </w:r>
      <w:r>
        <w:rPr>
          <w:sz w:val="21"/>
        </w:rPr>
        <w:t xml:space="preserve">. PNAS Nexus. 2024;3: pgae137. doi:</w:t>
      </w:r>
      <w:hyperlink r:id="rId87">
        <w:r>
          <w:rPr>
            <w:rStyle w:val="Hyperlink"/>
          </w:rPr>
          <w:t xml:space="preserve">10.1093/pnasnexus/pgae137</w:t>
        </w:r>
      </w:hyperlink>
    </w:p>
    <w:bookmarkEnd w:id="88"/>
    <w:bookmarkStart w:id="90" w:name="ref-wimpff2025continual"/>
    <w:p>
      <w:pPr>
        <w:pStyle w:val="Bibliography"/>
        <w:widowControl/>
        <w:tabs>
          <w:tab w:pos="360" w:val="left"/>
        </w:tabs>
        <w:spacing w:line="252" w:lineRule="auto"/>
        <w:ind w:left="360" w:hanging="360"/>
      </w:pPr>
      <w:r>
        <w:rPr>
          <w:sz w:val="21"/>
        </w:rPr>
        <w:t xml:space="preserve">11.</w:t>
      </w:r>
      <w:r>
        <w:rPr>
          <w:sz w:val="21"/>
        </w:rPr>
        <w:t xml:space="preserve"> </w:t>
      </w:r>
      <w:r>
        <w:rPr>
          <w:sz w:val="21"/>
        </w:rPr>
        <w:t xml:space="preserve">	</w:t>
      </w:r>
      <w:r>
        <w:rPr>
          <w:sz w:val="21"/>
        </w:rPr>
        <w:t xml:space="preserve">Wimpff M, Aristimunha B, Chevallier S, Yang B.</w:t>
      </w:r>
      <w:r>
        <w:rPr>
          <w:sz w:val="21"/>
        </w:rPr>
        <w:t xml:space="preserve"> </w:t>
      </w:r>
      <w:r>
        <w:rPr>
          <w:sz w:val="21"/>
        </w:rPr>
        <w:t xml:space="preserve">Fine-Tuning Strategies for Continual Online EEG Motor Imagery Decoding: Insights from a Large-Scale Longitudinal Study</w:t>
      </w:r>
      <w:r>
        <w:rPr>
          <w:sz w:val="21"/>
        </w:rPr>
        <w:t xml:space="preserve">.</w:t>
      </w:r>
      <w:r>
        <w:rPr>
          <w:sz w:val="21"/>
        </w:rPr>
        <w:t xml:space="preserve"> </w:t>
      </w:r>
      <w:r>
        <w:rPr>
          <w:sz w:val="21"/>
        </w:rPr>
        <w:t xml:space="preserve">2025 47th Annual International Conference of the IEEE Engineering in Medicine and Biology Society (EMBC)</w:t>
      </w:r>
      <w:r>
        <w:rPr>
          <w:sz w:val="21"/>
        </w:rPr>
        <w:t xml:space="preserve">. IEEE; 2025. pp. 1–7. doi:</w:t>
      </w:r>
      <w:hyperlink r:id="rId89">
        <w:r>
          <w:rPr>
            <w:rStyle w:val="Hyperlink"/>
          </w:rPr>
          <w:t xml:space="preserve">10.1109/EMBC58623.2025.11253543</w:t>
        </w:r>
      </w:hyperlink>
    </w:p>
    <w:bookmarkEnd w:id="90"/>
    <w:bookmarkStart w:id="92" w:name="ref-kozyrskiy2026updates"/>
    <w:p>
      <w:pPr>
        <w:pStyle w:val="Bibliography"/>
        <w:widowControl/>
        <w:tabs>
          <w:tab w:pos="360" w:val="left"/>
        </w:tabs>
        <w:spacing w:line="252" w:lineRule="auto"/>
        <w:ind w:left="360" w:hanging="360"/>
      </w:pPr>
      <w:r>
        <w:rPr>
          <w:sz w:val="21"/>
        </w:rPr>
        <w:t xml:space="preserve">12.</w:t>
      </w:r>
      <w:r>
        <w:rPr>
          <w:sz w:val="21"/>
        </w:rPr>
        <w:t xml:space="preserve"> </w:t>
      </w:r>
      <w:r>
        <w:rPr>
          <w:sz w:val="21"/>
        </w:rPr>
        <w:t xml:space="preserve">	</w:t>
      </w:r>
      <w:r>
        <w:rPr>
          <w:sz w:val="21"/>
        </w:rPr>
        <w:t xml:space="preserve">Kozyrskiy B, Grachev A, Camelo Guerrero AI.</w:t>
      </w:r>
      <w:r>
        <w:rPr>
          <w:sz w:val="21"/>
        </w:rPr>
        <w:t xml:space="preserve"> </w:t>
      </w:r>
      <w:r>
        <w:rPr>
          <w:sz w:val="21"/>
        </w:rPr>
        <w:t xml:space="preserve">Benchmarking Label-Revealed Online Updates for EEG BCI Decoding</w:t>
      </w:r>
      <w:r>
        <w:rPr>
          <w:sz w:val="21"/>
        </w:rPr>
        <w:t xml:space="preserve">. arXiv:2610.07420v1 [Preprint]. 2026 [cited 17 Oct 2026]. Available:</w:t>
      </w:r>
      <w:r>
        <w:rPr>
          <w:sz w:val="21"/>
        </w:rPr>
        <w:t xml:space="preserve"> </w:t>
      </w:r>
      <w:hyperlink r:id="rId91">
        <w:r>
          <w:rPr>
            <w:rStyle w:val="Hyperlink"/>
          </w:rPr>
          <w:t xml:space="preserve">https://arxiv.org/abs/2610.07420v1</w:t>
        </w:r>
      </w:hyperlink>
    </w:p>
    <w:bookmarkEnd w:id="92"/>
    <w:bookmarkStart w:id="94" w:name="ref-lawhern2018"/>
    <w:p>
      <w:pPr>
        <w:pStyle w:val="Bibliography"/>
        <w:widowControl/>
        <w:tabs>
          <w:tab w:pos="360" w:val="left"/>
        </w:tabs>
        <w:spacing w:line="252" w:lineRule="auto"/>
        <w:ind w:left="360" w:hanging="360"/>
      </w:pPr>
      <w:r>
        <w:rPr>
          <w:sz w:val="21"/>
        </w:rPr>
        <w:t xml:space="preserve">13.</w:t>
      </w:r>
      <w:r>
        <w:rPr>
          <w:sz w:val="21"/>
        </w:rPr>
        <w:t xml:space="preserve"> </w:t>
      </w:r>
      <w:r>
        <w:rPr>
          <w:sz w:val="21"/>
        </w:rPr>
        <w:t xml:space="preserve">	</w:t>
      </w:r>
      <w:r>
        <w:rPr>
          <w:sz w:val="21"/>
        </w:rPr>
        <w:t xml:space="preserve">Lawhern VJ, Solon AJ, Waytowich NR, Gordon SM, Hung CP, Lance BJ.</w:t>
      </w:r>
      <w:r>
        <w:rPr>
          <w:sz w:val="21"/>
        </w:rPr>
        <w:t xml:space="preserve"> </w:t>
      </w:r>
      <w:r>
        <w:rPr>
          <w:sz w:val="21"/>
        </w:rPr>
        <w:t xml:space="preserve">EEGNet: a compact convolutional neural network for EEG-based brain–computer interfaces</w:t>
      </w:r>
      <w:r>
        <w:rPr>
          <w:sz w:val="21"/>
        </w:rPr>
        <w:t xml:space="preserve">. J Neural Eng. 2018;15: 056013. doi:</w:t>
      </w:r>
      <w:hyperlink r:id="rId93">
        <w:r>
          <w:rPr>
            <w:rStyle w:val="Hyperlink"/>
          </w:rPr>
          <w:t xml:space="preserve">10.1088/1741-2552/aace8c</w:t>
        </w:r>
      </w:hyperlink>
    </w:p>
    <w:bookmarkEnd w:id="94"/>
    <w:bookmarkStart w:id="96" w:name="ref-nemar177"/>
    <w:p>
      <w:pPr>
        <w:pStyle w:val="Bibliography"/>
        <w:widowControl/>
        <w:tabs>
          <w:tab w:pos="360" w:val="left"/>
        </w:tabs>
        <w:spacing w:line="252" w:lineRule="auto"/>
        <w:ind w:left="360" w:hanging="360"/>
      </w:pPr>
      <w:r>
        <w:rPr>
          <w:sz w:val="21"/>
        </w:rPr>
        <w:t xml:space="preserve">14.</w:t>
      </w:r>
      <w:r>
        <w:rPr>
          <w:sz w:val="21"/>
        </w:rPr>
        <w:t xml:space="preserve"> </w:t>
      </w:r>
      <w:r>
        <w:rPr>
          <w:sz w:val="21"/>
        </w:rPr>
        <w:t xml:space="preserve">	</w:t>
      </w:r>
      <w:r>
        <w:rPr>
          <w:sz w:val="21"/>
        </w:rPr>
        <w:t xml:space="preserve">Kumar S, Alawieh H, Racz FS, Fakhreddine R, Millan J del R.</w:t>
      </w:r>
      <w:r>
        <w:rPr>
          <w:sz w:val="21"/>
        </w:rPr>
        <w:t xml:space="preserve"> </w:t>
      </w:r>
      <w:r>
        <w:rPr>
          <w:sz w:val="21"/>
        </w:rPr>
        <w:t xml:space="preserve">Multi-session longitudinal motor imagery EEG dataset (Kumar et al. 2024)</w:t>
      </w:r>
      <w:r>
        <w:rPr>
          <w:sz w:val="21"/>
        </w:rPr>
        <w:t xml:space="preserve">. NEMAR (Neuroelectromagnetic Data Archive; Tools Resource); 2026. doi:</w:t>
      </w:r>
      <w:hyperlink r:id="rId95">
        <w:r>
          <w:rPr>
            <w:rStyle w:val="Hyperlink"/>
          </w:rPr>
          <w:t xml:space="preserve">10.82901/nemar.nm000177.v1.0.5</w:t>
        </w:r>
      </w:hyperlink>
    </w:p>
    <w:bookmarkEnd w:id="96"/>
    <w:bookmarkStart w:id="98" w:name="ref-china2023ethics"/>
    <w:p>
      <w:pPr>
        <w:pStyle w:val="Bibliography"/>
        <w:widowControl/>
        <w:tabs>
          <w:tab w:pos="360" w:val="left"/>
        </w:tabs>
        <w:spacing w:line="252" w:lineRule="auto"/>
        <w:ind w:left="360" w:hanging="360"/>
      </w:pPr>
      <w:r>
        <w:rPr>
          <w:sz w:val="21"/>
        </w:rPr>
        <w:t xml:space="preserve">15.</w:t>
      </w:r>
      <w:r>
        <w:rPr>
          <w:sz w:val="21"/>
        </w:rPr>
        <w:t xml:space="preserve"> </w:t>
      </w:r>
      <w:r>
        <w:rPr>
          <w:sz w:val="21"/>
        </w:rPr>
        <w:t xml:space="preserve">	</w:t>
      </w:r>
      <w:r>
        <w:rPr>
          <w:sz w:val="21"/>
        </w:rPr>
        <w:t xml:space="preserve">National Health Commission of the People’s Republic of China, Ministry of Education of the People’s Republic of China, Ministry of Science and Technology of the People’s Republic of China, National Administration of Traditional Chinese Medicine.</w:t>
      </w:r>
      <w:r>
        <w:rPr>
          <w:sz w:val="21"/>
        </w:rPr>
        <w:t xml:space="preserve"> </w:t>
      </w:r>
      <w:r>
        <w:rPr>
          <w:sz w:val="21"/>
        </w:rPr>
        <w:t xml:space="preserve">Measures for the Ethical Review of Life Science and Medical Research Involving Humans</w:t>
      </w:r>
      <w:r>
        <w:rPr>
          <w:sz w:val="21"/>
        </w:rPr>
        <w:t xml:space="preserve">. National Health Commission of the People’s Republic of China; 2023. Available:</w:t>
      </w:r>
      <w:r>
        <w:rPr>
          <w:sz w:val="21"/>
        </w:rPr>
        <w:t xml:space="preserve"> </w:t>
      </w:r>
      <w:hyperlink r:id="rId97">
        <w:r>
          <w:rPr>
            <w:rStyle w:val="Hyperlink"/>
          </w:rPr>
          <w:t xml:space="preserve">https://www.gov.cn/zhengce/zhengceku/2023-02/28/content_5743658.htm</w:t>
        </w:r>
      </w:hyperlink>
    </w:p>
    <w:bookmarkEnd w:id="98"/>
    <w:bookmarkStart w:id="100" w:name="ref-kumarcodebook"/>
    <w:p>
      <w:pPr>
        <w:pStyle w:val="Bibliography"/>
        <w:widowControl/>
        <w:tabs>
          <w:tab w:pos="360" w:val="left"/>
        </w:tabs>
        <w:spacing w:line="252" w:lineRule="auto"/>
        <w:ind w:left="360" w:hanging="360"/>
      </w:pPr>
      <w:r>
        <w:rPr>
          <w:sz w:val="21"/>
        </w:rPr>
        <w:t xml:space="preserve">16.</w:t>
      </w:r>
      <w:r>
        <w:rPr>
          <w:sz w:val="21"/>
        </w:rPr>
        <w:t xml:space="preserve"> </w:t>
      </w:r>
      <w:r>
        <w:rPr>
          <w:sz w:val="21"/>
        </w:rPr>
        <w:t xml:space="preserve">	EEG event codebook: </w:t>
      </w:r>
      <w:r>
        <w:rPr>
          <w:sz w:val="21"/>
        </w:rPr>
        <w:t xml:space="preserve">Dataset_Description.pdf</w:t>
      </w:r>
      <w:r>
        <w:rPr>
          <w:sz w:val="21"/>
        </w:rPr>
        <w:t xml:space="preserve">. TransLearning repository [Internet]; GitHub; [cited 19 Oct 2026]. Available:</w:t>
      </w:r>
      <w:r>
        <w:rPr>
          <w:sz w:val="21"/>
        </w:rPr>
        <w:t xml:space="preserve"> </w:t>
      </w:r>
      <w:hyperlink r:id="rId99">
        <w:r>
          <w:rPr>
            <w:rStyle w:val="Hyperlink"/>
          </w:rPr>
          <w:t xml:space="preserve">https://github.com/neurosatya/TransLearning/blob/548470542e63f97ab777684c1f5e4f1cace4b8ed/Dataset_Description.pdf</w:t>
        </w:r>
      </w:hyperlink>
    </w:p>
    <w:bookmarkEnd w:id="100"/>
    <w:bookmarkStart w:id="102" w:name="ref-jayaram2018"/>
    <w:p>
      <w:pPr>
        <w:pStyle w:val="Bibliography"/>
        <w:widowControl/>
        <w:tabs>
          <w:tab w:pos="360" w:val="left"/>
        </w:tabs>
        <w:spacing w:line="252" w:lineRule="auto"/>
        <w:ind w:left="360" w:hanging="360"/>
      </w:pPr>
      <w:r>
        <w:rPr>
          <w:sz w:val="21"/>
        </w:rPr>
        <w:t xml:space="preserve">17.</w:t>
      </w:r>
      <w:r>
        <w:rPr>
          <w:sz w:val="21"/>
        </w:rPr>
        <w:t xml:space="preserve"> </w:t>
      </w:r>
      <w:r>
        <w:rPr>
          <w:sz w:val="21"/>
        </w:rPr>
        <w:t xml:space="preserve">	</w:t>
      </w:r>
      <w:r>
        <w:rPr>
          <w:sz w:val="21"/>
        </w:rPr>
        <w:t xml:space="preserve">Jayaram V, Barachant A.</w:t>
      </w:r>
      <w:r>
        <w:rPr>
          <w:sz w:val="21"/>
        </w:rPr>
        <w:t xml:space="preserve"> </w:t>
      </w:r>
      <w:r>
        <w:rPr>
          <w:sz w:val="21"/>
        </w:rPr>
        <w:t xml:space="preserve">MOABB: trustworthy algorithm benchmarking for BCIs</w:t>
      </w:r>
      <w:r>
        <w:rPr>
          <w:sz w:val="21"/>
        </w:rPr>
        <w:t xml:space="preserve">. J Neural Eng. 2018;15: 066011. doi:</w:t>
      </w:r>
      <w:hyperlink r:id="rId101">
        <w:r>
          <w:rPr>
            <w:rStyle w:val="Hyperlink"/>
          </w:rPr>
          <w:t xml:space="preserve">10.1088/1741-2552/aadea0</w:t>
        </w:r>
      </w:hyperlink>
    </w:p>
    <w:bookmarkEnd w:id="102"/>
    <w:bookmarkStart w:id="104" w:name="ref-ledoit2004"/>
    <w:p>
      <w:pPr>
        <w:pStyle w:val="Bibliography"/>
        <w:widowControl/>
        <w:tabs>
          <w:tab w:pos="360" w:val="left"/>
        </w:tabs>
        <w:spacing w:line="252" w:lineRule="auto"/>
        <w:ind w:left="360" w:hanging="360"/>
      </w:pPr>
      <w:r>
        <w:rPr>
          <w:sz w:val="21"/>
        </w:rPr>
        <w:t xml:space="preserve">18.</w:t>
      </w:r>
      <w:r>
        <w:rPr>
          <w:sz w:val="21"/>
        </w:rPr>
        <w:t xml:space="preserve"> </w:t>
      </w:r>
      <w:r>
        <w:rPr>
          <w:sz w:val="21"/>
        </w:rPr>
        <w:t xml:space="preserve">	</w:t>
      </w:r>
      <w:r>
        <w:rPr>
          <w:sz w:val="21"/>
        </w:rPr>
        <w:t xml:space="preserve">Ledoit O, Wolf M.</w:t>
      </w:r>
      <w:r>
        <w:rPr>
          <w:sz w:val="21"/>
        </w:rPr>
        <w:t xml:space="preserve"> </w:t>
      </w:r>
      <w:r>
        <w:rPr>
          <w:sz w:val="21"/>
        </w:rPr>
        <w:t xml:space="preserve">A well-conditioned estimator for large-dimensional covariance matrices</w:t>
      </w:r>
      <w:r>
        <w:rPr>
          <w:sz w:val="21"/>
        </w:rPr>
        <w:t xml:space="preserve">. J Multivar Anal. 2004;88: 365–411. doi:</w:t>
      </w:r>
      <w:hyperlink r:id="rId103">
        <w:r>
          <w:rPr>
            <w:rStyle w:val="Hyperlink"/>
          </w:rPr>
          <w:t xml:space="preserve">10.1016/s0047-259x(03)00096-4</w:t>
        </w:r>
      </w:hyperlink>
    </w:p>
    <w:bookmarkEnd w:id="104"/>
    <w:bookmarkStart w:id="106" w:name="ref-schirrmeister2017"/>
    <w:p>
      <w:pPr>
        <w:pStyle w:val="Bibliography"/>
        <w:widowControl/>
        <w:tabs>
          <w:tab w:pos="360" w:val="left"/>
        </w:tabs>
        <w:spacing w:line="252" w:lineRule="auto"/>
        <w:ind w:left="360" w:hanging="360"/>
      </w:pPr>
      <w:r>
        <w:rPr>
          <w:sz w:val="21"/>
        </w:rPr>
        <w:t xml:space="preserve">19.</w:t>
      </w:r>
      <w:r>
        <w:rPr>
          <w:sz w:val="21"/>
        </w:rPr>
        <w:t xml:space="preserve"> </w:t>
      </w:r>
      <w:r>
        <w:rPr>
          <w:sz w:val="21"/>
        </w:rPr>
        <w:t xml:space="preserve">	</w:t>
      </w:r>
      <w:r>
        <w:rPr>
          <w:sz w:val="21"/>
        </w:rPr>
        <w:t xml:space="preserve">Schirrmeister RT, Springenberg JT, Fiederer LDJ, Glasstetter M, Eggensperger K, Tangermann M, et al.</w:t>
      </w:r>
      <w:r>
        <w:rPr>
          <w:sz w:val="21"/>
        </w:rPr>
        <w:t xml:space="preserve"> </w:t>
      </w:r>
      <w:r>
        <w:rPr>
          <w:sz w:val="21"/>
        </w:rPr>
        <w:t xml:space="preserve">Deep learning with convolutional neural networks for EEG decoding and visualization</w:t>
      </w:r>
      <w:r>
        <w:rPr>
          <w:sz w:val="21"/>
        </w:rPr>
        <w:t xml:space="preserve">. Hum Brain Mapp. 2017;38: 5391–5420. doi:</w:t>
      </w:r>
      <w:hyperlink r:id="rId105">
        <w:r>
          <w:rPr>
            <w:rStyle w:val="Hyperlink"/>
          </w:rPr>
          <w:t xml:space="preserve">10.1002/hbm.23730</w:t>
        </w:r>
      </w:hyperlink>
    </w:p>
    <w:bookmarkEnd w:id="106"/>
    <w:bookmarkEnd w:id="107"/>
    <w:bookmarkEnd w:id="108"/>
    <w:bookmarkStart w:id="109" w:name="supporting-information-captions"/>
    <w:p>
      <w:pPr>
        <w:pStyle w:val="Heading1"/>
        <w:keepNext/>
        <w:widowControl/>
      </w:pPr>
      <w:r>
        <w:rPr>
          <w:rFonts w:ascii="Times New Roman" w:hAnsi="Times New Roman" w:cs="Times New Roman" w:eastAsia="Noto Serif CJK SC"/>
          <w:color w:val="000000"/>
          <w:sz w:val="28"/>
        </w:rPr>
        <w:t xml:space="preserve">Supporting information captions</w:t>
      </w:r>
    </w:p>
    <w:p>
      <w:pPr>
        <w:pStyle w:val="FirstParagraph"/>
        <w:keepNext/>
        <w:widowControl/>
        <w:spacing w:before="160"/>
      </w:pPr>
      <w:r>
        <w:rPr>
          <w:bCs/>
          <w:b/>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pPr>
      <w:r>
        <w:rPr>
          <w:bCs/>
          <w:b/>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pPr>
      <w:r>
        <w:rPr>
          <w:bCs/>
          <w:b/>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109"/>
    <w:sectPr>
      <w:footerReference w:type="default" r:id="rId9"/>
      <w:pgSz w:w="12240" w:h="15840"/>
      <w:pgMar w:top="1440" w:bottom="1440"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83" w:lineRule="auto" w:after="120"/>
    </w:pPr>
    <w:rPr>
      <w:rFonts w:ascii="Times New Roman" w:hAnsi="Times New Roman" w:cs="Times New Roman" w:eastAsia="Noto Serif CJK SC"/>
      <w:color w:val="000000"/>
      <w:sz w:val="23"/>
    </w:rPr>
  </w:style>
  <w:style w:styleId="BodyText" w:type="paragraph">
    <w:name w:val="Body Text"/>
    <w:basedOn w:val="Normal"/>
    <w:link w:val="BodyTextChar"/>
    <w:pPr>
      <w:widowControl/>
      <w:spacing w:after="120" w:before="180" w:line="283" w:lineRule="auto"/>
    </w:pPr>
    <w:qFormat/>
    <w:rPr>
      <w:rFonts w:ascii="Times New Roman" w:hAnsi="Times New Roman" w:cs="Times New Roman" w:eastAsia="Noto Serif CJK SC"/>
      <w:color w:val="000000"/>
      <w:sz w:val="23"/>
    </w:rPr>
  </w:style>
  <w:style w:customStyle="1" w:styleId="FirstParagraph" w:type="paragraph">
    <w:name w:val="First Paragraph"/>
    <w:basedOn w:val="BodyText"/>
    <w:next w:val="BodyText"/>
    <w:qFormat/>
    <w:pPr>
      <w:widowControl/>
      <w:spacing w:line="283" w:lineRule="auto" w:after="120"/>
    </w:pPr>
    <w:rPr>
      <w:rFonts w:ascii="Times New Roman" w:hAnsi="Times New Roman" w:cs="Times New Roman" w:eastAsia="Noto Serif CJK SC"/>
      <w:color w:val="000000"/>
      <w:sz w:val="23"/>
    </w:rPr>
  </w:style>
  <w:style w:customStyle="1" w:styleId="Compact" w:type="paragraph">
    <w:name w:val="Compact"/>
    <w:basedOn w:val="BodyText"/>
    <w:qFormat/>
    <w:pPr>
      <w:widowControl/>
      <w:spacing w:after="120" w:before="36" w:line="283" w:lineRule="auto"/>
    </w:pPr>
    <w:rPr>
      <w:rFonts w:ascii="Times New Roman" w:hAnsi="Times New Roman" w:cs="Times New Roman" w:eastAsia="Noto Serif CJK SC"/>
      <w:color w:val="000000"/>
      <w:sz w:val="23"/>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6"/>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83" w:lineRule="auto" w:after="120"/>
    </w:pPr>
    <w:rPr>
      <w:rFonts w:ascii="Times New Roman" w:hAnsi="Times New Roman" w:cs="Times New Roman" w:eastAsia="Noto Serif CJK SC"/>
      <w:color w:val="000000"/>
      <w:sz w:val="23"/>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41" Type="http://schemas.openxmlformats.org/officeDocument/2006/relationships/image" Target="media/rId41.png"/><Relationship Id="rId45" Type="http://schemas.openxmlformats.org/officeDocument/2006/relationships/image" Target="media/rId45.png"/><Relationship Id="rId50" Type="http://schemas.openxmlformats.org/officeDocument/2006/relationships/image" Target="media/rId50.png"/><Relationship Id="rId54" Type="http://schemas.openxmlformats.org/officeDocument/2006/relationships/image" Target="media/rId54.png"/><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2026-10-17T04:14:15Z</dcterms:created>
  <dcterms:modified xsi:type="dcterms:W3CDTF">2026-10-17T04:14:15Z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