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5ee45a240f1906734d08c103182a2bfbacc3be"/>
    <w:p>
      <w:pPr>
        <w:pStyle w:val="Heading1"/>
      </w:pPr>
      <w:r>
        <w:t xml:space="preserve">Spatial-filter refitting improves limited-label EEG decoding beyond classifier recalibration</w:t>
      </w:r>
    </w:p>
    <w:p>
      <w:pPr>
        <w:pStyle w:val="FirstParagraph"/>
      </w:pPr>
      <w:r>
        <w:rPr>
          <w:b/>
          <w:bCs/>
        </w:rPr>
        <w:t xml:space="preserve">Running head:</w:t>
      </w:r>
      <w:r>
        <w:t xml:space="preserve"> </w:t>
      </w:r>
      <w:r>
        <w:t xml:space="preserve">Spatial refitting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the additional value of spatial-filter refitting beyond classifier recalibration when approximately 20 current-session labels are available.</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18 participants across six Kumar2024 sessions. The predefined primary cohort contained 12 participants. Both updating methods used identical source and current-session labels. Later component experiments used the six previously exposed development participants.</w:t>
      </w:r>
    </w:p>
    <w:p>
      <w:pPr>
        <w:pStyle w:val="BodyText"/>
      </w:pPr>
      <w:r>
        <w:rPr>
          <w:b/>
          <w:bCs/>
        </w:rPr>
        <w:t xml:space="preserve">Results:</w:t>
      </w:r>
      <w:r>
        <w:t xml:space="preserve"> </w:t>
      </w:r>
      <w:r>
        <w:t xml:space="preserve">Full refitting achieved 65.36% balanced accuracy, exceeding freezing by 7.42 percentage points (95% participant-bootstrap interval 2.49–12.48). The secondary, matched-label full-minus-classifier-only gain was 5.47 points (2.17–8.91), accounting for 73.7% of the mean total gain. It was positive in ten of 12 participant averages and all five target-session averages. Neural adaptation with fixed normalization exceeded adaptive normalization by 1.50–1.91 points at the 20-label cap, with different smaller-budget profiles. The geometric candidate underperformed ordinary tangent refitting and Euclidean-aligned CSP; source-functional constraints added little benefit.</w:t>
      </w:r>
    </w:p>
    <w:p>
      <w:pPr>
        <w:pStyle w:val="BodyText"/>
      </w:pPr>
      <w:r>
        <w:rPr>
          <w:b/>
          <w:bCs/>
        </w:rPr>
        <w:t xml:space="preserve">Conclusions:</w:t>
      </w:r>
      <w:r>
        <w:t xml:space="preserve"> </w:t>
      </w:r>
      <w:r>
        <w:t xml:space="preserve">Spatial-filter refitting supplied most of the observed recalibration gain under matched labels. The component comparisons identify spatial updating and normalization mode as distinct design choices for limited-label longitudinal decoding.</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A longitudinal motor-imagery brain–computer interface (BCI) must use a short run of new labeled EEG effectively. Between-session changes can affect signal distributions, spatial representations and class decisions. Calibration can update the classifier, the representation, or both, with each fitted component depending on a small number of new observations</w:t>
      </w:r>
      <w:r>
        <w:t xml:space="preserve"> </w:t>
      </w:r>
      <w:r>
        <w:t xml:space="preserve">[1]</w:t>
      </w:r>
      <w:r>
        <w:t xml:space="preserve">.</w:t>
      </w:r>
    </w:p>
    <w:p>
      <w:pPr>
        <w:pStyle w:val="BodyText"/>
      </w:pPr>
      <w:r>
        <w:t xml:space="preserve">Common spatial patterns (CSP) and linear discriminant analysis (LDA) make these choices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When the two updates receive identical labels, their difference quantifies the added spatial update within the pipeline.</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These precedents motivate a component question: how much does relearning spatial filters contribute when classifier recalibration already receives the same new labels?</w:t>
      </w:r>
    </w:p>
    <w:p>
      <w:pPr>
        <w:pStyle w:val="BodyText"/>
      </w:pPr>
      <w:r>
        <w:t xml:space="preserve">Neural adaptation introduces further choices. Updating weights can accompany changes in normalization statistics, affine parameters and Dropout. Adaptive batch normalization (BN) is established</w:t>
      </w:r>
      <w:r>
        <w:t xml:space="preserve"> </w:t>
      </w:r>
      <w:r>
        <w:t xml:space="preserve">[11]</w:t>
      </w:r>
      <w:r>
        <w:t xml:space="preserve">, and longitudinal EEG studies have combined fine-tuning with alignment and normalization updates</w:t>
      </w:r>
      <w:r>
        <w:t xml:space="preserve"> </w:t>
      </w:r>
      <w:r>
        <w:t xml:space="preserve">[12]</w:t>
      </w:r>
      <w:r>
        <w:t xml:space="preserve">. Weight and functional constraints offer other ways to preserve source information</w:t>
      </w:r>
      <w:r>
        <w:t xml:space="preserve"> </w:t>
      </w:r>
      <w:r>
        <w:t xml:space="preserve">[13–15]</w:t>
      </w:r>
      <w:r>
        <w:t xml:space="preserve">. Separating these actions helps explain which part of adaptation delivers a gain.</w:t>
      </w:r>
    </w:p>
    <w:p>
      <w:pPr>
        <w:pStyle w:val="BodyText"/>
      </w:pPr>
      <w:r>
        <w:t xml:space="preserve">We first compared frozen CSP/LDA, LDA-only recalibration and full refitting across six Kumar2024 sessions. Both updates used 40 source-training labels and 19 or 20 current-session labels. The predefined primary contrast was full refitting versus freezing in a 12-participant cohort; full versus LDA-only was secondary. We then examined conventional alignment, geometric estimation and controlled neural modes in the six previously exposed development participants. The paper connects the matched-label spatial gain to its prediction transitions and longitudinal consistency, while the later experiments locate useful normalization choices and the limits of added candidate machinery.</w:t>
      </w:r>
    </w:p>
    <w:bookmarkEnd w:id="21"/>
    <w:bookmarkStart w:id="29"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[16]</w:t>
      </w:r>
      <w:r>
        <w:t xml:space="preserve">, associated with the original study and its correction</w:t>
      </w:r>
      <w:r>
        <w:t xml:space="preserve"> </w:t>
      </w:r>
      <w:r>
        <w:t xml:space="preserve">[9, 10]</w:t>
      </w:r>
      <w:r>
        <w:t xml:space="preserve">. The original study reported University of Texas at Austin ethical approval under protocol 2020-03-0073 and written informed consent before data collection.</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[17]</w:t>
      </w:r>
      <w:r>
        <w:t xml:space="preserve">. It used lawfully obtained publicly available data, caused no harm to participants, and did not involve sensitive personal information or commercial interests.</w:t>
      </w:r>
    </w:p>
    <w:p>
      <w:pPr>
        <w:pStyle w:val="BodyText"/>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[18]</w:t>
      </w:r>
      <w:r>
        <w:t xml:space="preserve">; the documented MOABB adapter maps cues to a [0, 5]-second interval</w:t>
      </w:r>
      <w:r>
        <w:t xml:space="preserve"> </w:t>
      </w:r>
      <w:r>
        <w:t xml:space="preserve">[19]</w:t>
      </w:r>
      <w:r>
        <w:t xml:space="preserve">. The original procedure included a 1.5-second cue preceding feedback and variable online feedback duration. Our endpoint is therefore task-label decoding over released cue-anchored windows. Full trial-level phase composition remained unresolved.</w:t>
      </w:r>
    </w:p>
    <w:p>
      <w:pPr>
        <w:pStyle w:val="BodyText"/>
      </w:pPr>
      <w:r>
        <w:t xml:space="preserve">Preprocessing used common-average referencing across 22 channels, fourth-order 8–30 Hz zero-phase Butterworth filtering, and resampling from 512 to 128 Hz, yielding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[20]</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[21, 22]</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X2715eda2745805e6c9593e76843897c60bf97fa"/>
    <w:p>
      <w:pPr>
        <w:pStyle w:val="Heading3"/>
      </w:pPr>
      <w:r>
        <w:t xml:space="preserve">Discovery extensions and frozen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[14, 15]</w:t>
      </w:r>
      <w:r>
        <w:t xml:space="preserve">.</w:t>
      </w:r>
    </w:p>
    <w:bookmarkEnd w:id="26"/>
    <w:bookmarkStart w:id="27"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7"/>
    <w:bookmarkStart w:id="28"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The six-person discovery intervals are pointwise summaries.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Saved trial identities, labels and metrics were checked before aggregation. The revision reused predictions and histories; no model fitting or new inference was required. The supplement identifies the full result packet, code and provenance checks.</w:t>
      </w:r>
    </w:p>
    <w:bookmarkEnd w:id="28"/>
    <w:bookmarkEnd w:id="29"/>
    <w:bookmarkStart w:id="48" w:name="results"/>
    <w:p>
      <w:pPr>
        <w:pStyle w:val="Heading2"/>
      </w:pPr>
      <w:r>
        <w:t xml:space="preserve">Results</w:t>
      </w:r>
    </w:p>
    <w:bookmarkStart w:id="33"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w:t>
      </w:r>
    </w:p>
    <w:p>
      <w:pPr>
        <w:pStyle w:val="BodyT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Cohort</w:t>
            </w:r>
          </w:p>
        </w:tc>
        <w:tc>
          <w:tcPr/>
          <w:p>
            <w:pPr>
              <w:pStyle w:val="Compact"/>
              <w:spacing w:after="80"/>
              <w:jc w:val="right"/>
            </w:pPr>
            <w:r>
              <w:rPr>
                <w:b/>
                <w:sz w:val="18"/>
              </w:rPr>
              <w:t xml:space="preserve">Participants</w:t>
            </w:r>
          </w:p>
        </w:tc>
        <w:tc>
          <w:tcPr/>
          <w:p>
            <w:pPr>
              <w:pStyle w:val="Compact"/>
              <w:spacing w:after="80"/>
              <w:jc w:val="right"/>
            </w:pPr>
            <w:r>
              <w:rPr>
                <w:b/>
                <w:sz w:val="18"/>
              </w:rPr>
              <w:t xml:space="preserve">Frozen CSP/LDA BA</w:t>
            </w:r>
          </w:p>
        </w:tc>
        <w:tc>
          <w:tcPr/>
          <w:p>
            <w:pPr>
              <w:pStyle w:val="Compact"/>
              <w:spacing w:after="80"/>
              <w:jc w:val="right"/>
            </w:pPr>
            <w:r>
              <w:rPr>
                <w:b/>
                <w:sz w:val="18"/>
              </w:rPr>
              <w:t xml:space="preserve">LDA-only BA</w:t>
            </w:r>
          </w:p>
        </w:tc>
        <w:tc>
          <w:tcPr/>
          <w:p>
            <w:pPr>
              <w:pStyle w:val="Compact"/>
              <w:spacing w:after="80"/>
              <w:jc w:val="right"/>
            </w:pPr>
            <w:r>
              <w:rPr>
                <w:b/>
                <w:sz w:val="18"/>
              </w:rPr>
              <w:t xml:space="preserve">Full CSP/LDA BA</w:t>
            </w:r>
          </w:p>
        </w:tc>
        <w:tc>
          <w:tcPr/>
          <w:p>
            <w:pPr>
              <w:pStyle w:val="Compact"/>
              <w:spacing w:after="80"/>
              <w:jc w:val="right"/>
            </w:pPr>
            <w:r>
              <w:rPr>
                <w:b/>
                <w:sz w:val="18"/>
              </w:rPr>
              <w:t xml:space="preserve">Full − frozen</w:t>
            </w:r>
          </w:p>
        </w:tc>
        <w:tc>
          <w:tcPr/>
          <w:p>
            <w:pPr>
              <w:pStyle w:val="Compact"/>
              <w:spacing w:after="80"/>
              <w:jc w:val="right"/>
            </w:pPr>
            <w:r>
              <w:rPr>
                <w:b/>
                <w:sz w:val="18"/>
              </w:rPr>
              <w:t xml:space="preserve">Full − LDA-only</w:t>
            </w:r>
          </w:p>
        </w:tc>
      </w:tr>
      <w:tr>
        <w:tc>
          <w:tcPr/>
          <w:p>
            <w:pPr>
              <w:pStyle w:val="Compact"/>
              <w:spacing w:after="80"/>
              <w:jc w:val="left"/>
            </w:pPr>
            <w:r>
              <w:rPr>
                <w:sz w:val="18"/>
              </w:rPr>
              <w:t xml:space="preserve">Development</w:t>
            </w:r>
          </w:p>
        </w:tc>
        <w:tc>
          <w:tcPr/>
          <w:p>
            <w:pPr>
              <w:pStyle w:val="Compact"/>
              <w:spacing w:after="80"/>
              <w:jc w:val="right"/>
            </w:pPr>
            <w:r>
              <w:rPr>
                <w:sz w:val="18"/>
              </w:rPr>
              <w:t xml:space="preserve">6</w:t>
            </w:r>
          </w:p>
        </w:tc>
        <w:tc>
          <w:tcPr/>
          <w:p>
            <w:pPr>
              <w:pStyle w:val="Compact"/>
              <w:spacing w:after="80"/>
              <w:jc w:val="right"/>
            </w:pPr>
            <w:r>
              <w:rPr>
                <w:sz w:val="18"/>
              </w:rPr>
              <w:t xml:space="preserve">59.97%</w:t>
            </w:r>
          </w:p>
        </w:tc>
        <w:tc>
          <w:tcPr/>
          <w:p>
            <w:pPr>
              <w:pStyle w:val="Compact"/>
              <w:spacing w:after="80"/>
              <w:jc w:val="right"/>
            </w:pPr>
            <w:r>
              <w:rPr>
                <w:sz w:val="18"/>
              </w:rPr>
              <w:t xml:space="preserve">64.37%</w:t>
            </w:r>
          </w:p>
        </w:tc>
        <w:tc>
          <w:tcPr/>
          <w:p>
            <w:pPr>
              <w:pStyle w:val="Compact"/>
              <w:spacing w:after="80"/>
              <w:jc w:val="right"/>
            </w:pPr>
            <w:r>
              <w:rPr>
                <w:sz w:val="18"/>
              </w:rPr>
              <w:t xml:space="preserve">63.22%</w:t>
            </w:r>
          </w:p>
        </w:tc>
        <w:tc>
          <w:tcPr/>
          <w:p>
            <w:pPr>
              <w:pStyle w:val="Compact"/>
              <w:spacing w:after="80"/>
              <w:jc w:val="right"/>
            </w:pPr>
            <w:r>
              <w:rPr>
                <w:sz w:val="18"/>
              </w:rPr>
              <w:t xml:space="preserve">+3.25 pp</w:t>
            </w:r>
          </w:p>
        </w:tc>
        <w:tc>
          <w:tcPr/>
          <w:p>
            <w:pPr>
              <w:pStyle w:val="Compact"/>
              <w:spacing w:after="80"/>
              <w:jc w:val="right"/>
            </w:pPr>
            <w:r>
              <w:rPr>
                <w:sz w:val="18"/>
              </w:rPr>
              <w:t xml:space="preserve">−1.15 pp</w:t>
            </w:r>
          </w:p>
        </w:tc>
      </w:tr>
      <w:tr>
        <w:tc>
          <w:tcPr/>
          <w:p>
            <w:pPr>
              <w:pStyle w:val="Compact"/>
              <w:spacing w:after="80"/>
              <w:jc w:val="left"/>
            </w:pPr>
            <w:r>
              <w:rPr>
                <w:sz w:val="18"/>
              </w:rPr>
              <w:t xml:space="preserve">Predefined primary cohort</w:t>
            </w:r>
          </w:p>
        </w:tc>
        <w:tc>
          <w:tcPr/>
          <w:p>
            <w:pPr>
              <w:pStyle w:val="Compact"/>
              <w:spacing w:after="80"/>
              <w:jc w:val="right"/>
            </w:pPr>
            <w:r>
              <w:rPr>
                <w:sz w:val="18"/>
              </w:rPr>
              <w:t xml:space="preserve">12</w:t>
            </w:r>
          </w:p>
        </w:tc>
        <w:tc>
          <w:tcPr/>
          <w:p>
            <w:pPr>
              <w:pStyle w:val="Compact"/>
              <w:spacing w:after="80"/>
              <w:jc w:val="right"/>
            </w:pPr>
            <w:r>
              <w:rPr>
                <w:sz w:val="18"/>
              </w:rPr>
              <w:t xml:space="preserve">57.94%</w:t>
            </w:r>
          </w:p>
        </w:tc>
        <w:tc>
          <w:tcPr/>
          <w:p>
            <w:pPr>
              <w:pStyle w:val="Compact"/>
              <w:spacing w:after="80"/>
              <w:jc w:val="right"/>
            </w:pPr>
            <w:r>
              <w:rPr>
                <w:sz w:val="18"/>
              </w:rPr>
              <w:t xml:space="preserve">59.89%</w:t>
            </w:r>
          </w:p>
        </w:tc>
        <w:tc>
          <w:tcPr/>
          <w:p>
            <w:pPr>
              <w:pStyle w:val="Compact"/>
              <w:spacing w:after="80"/>
              <w:jc w:val="right"/>
            </w:pPr>
            <w:r>
              <w:rPr>
                <w:sz w:val="18"/>
              </w:rPr>
              <w:t xml:space="preserve">65.36%</w:t>
            </w:r>
          </w:p>
        </w:tc>
        <w:tc>
          <w:tcPr/>
          <w:p>
            <w:pPr>
              <w:pStyle w:val="Compact"/>
              <w:spacing w:after="80"/>
              <w:jc w:val="right"/>
            </w:pPr>
            <w:r>
              <w:rPr>
                <w:sz w:val="18"/>
              </w:rPr>
              <w:t xml:space="preserve">+7.42 [2.49, 12.48] pp</w:t>
            </w:r>
          </w:p>
        </w:tc>
        <w:tc>
          <w:tcPr/>
          <w:p>
            <w:pPr>
              <w:pStyle w:val="Compact"/>
              <w:spacing w:after="80"/>
              <w:jc w:val="right"/>
            </w:pPr>
            <w:r>
              <w:rPr>
                <w:sz w:val="18"/>
              </w:rPr>
              <w:t xml:space="preserve">+5.47 [2.17, 8.91] pp</w:t>
            </w:r>
          </w:p>
        </w:tc>
      </w:tr>
      <w:tr>
        <w:tc>
          <w:tcPr/>
          <w:p>
            <w:pPr>
              <w:pStyle w:val="Compact"/>
              <w:spacing w:after="80"/>
              <w:jc w:val="left"/>
            </w:pPr>
            <w:r>
              <w:rPr>
                <w:sz w:val="18"/>
              </w:rPr>
              <w:t xml:space="preserve">All participants, secondary</w:t>
            </w:r>
          </w:p>
        </w:tc>
        <w:tc>
          <w:tcPr/>
          <w:p>
            <w:pPr>
              <w:pStyle w:val="Compact"/>
              <w:spacing w:after="80"/>
              <w:jc w:val="right"/>
            </w:pPr>
            <w:r>
              <w:rPr>
                <w:sz w:val="18"/>
              </w:rPr>
              <w:t xml:space="preserve">18</w:t>
            </w:r>
          </w:p>
        </w:tc>
        <w:tc>
          <w:tcPr/>
          <w:p>
            <w:pPr>
              <w:pStyle w:val="Compact"/>
              <w:spacing w:after="80"/>
              <w:jc w:val="right"/>
            </w:pPr>
            <w:r>
              <w:rPr>
                <w:sz w:val="18"/>
              </w:rPr>
              <w:t xml:space="preserve">58.62%</w:t>
            </w:r>
          </w:p>
        </w:tc>
        <w:tc>
          <w:tcPr/>
          <w:p>
            <w:pPr>
              <w:pStyle w:val="Compact"/>
              <w:spacing w:after="80"/>
              <w:jc w:val="right"/>
            </w:pPr>
            <w:r>
              <w:rPr>
                <w:sz w:val="18"/>
              </w:rPr>
              <w:t xml:space="preserve">61.38%</w:t>
            </w:r>
          </w:p>
        </w:tc>
        <w:tc>
          <w:tcPr/>
          <w:p>
            <w:pPr>
              <w:pStyle w:val="Compact"/>
              <w:spacing w:after="80"/>
              <w:jc w:val="right"/>
            </w:pPr>
            <w:r>
              <w:rPr>
                <w:sz w:val="18"/>
              </w:rPr>
              <w:t xml:space="preserve">64.65%</w:t>
            </w:r>
          </w:p>
        </w:tc>
        <w:tc>
          <w:tcPr/>
          <w:p>
            <w:pPr>
              <w:pStyle w:val="Compact"/>
              <w:spacing w:after="80"/>
              <w:jc w:val="right"/>
            </w:pPr>
            <w:r>
              <w:rPr>
                <w:sz w:val="18"/>
              </w:rPr>
              <w:t xml:space="preserve">+6.03 pp</w:t>
            </w:r>
          </w:p>
        </w:tc>
        <w:tc>
          <w:tcPr/>
          <w:p>
            <w:pPr>
              <w:pStyle w:val="Compact"/>
              <w:spacing w:after="80"/>
              <w:jc w:val="right"/>
            </w:pPr>
            <w:r>
              <w:rPr>
                <w:sz w:val="18"/>
              </w:rPr>
              <w:t xml:space="preserve">+3.26 pp</w:t>
            </w:r>
          </w:p>
        </w:tc>
      </w:tr>
    </w:tbl>
    <w:p>
      <w:pPr>
        <w:pStyle w:val="BodyText"/>
      </w:pPr>
      <w:r>
        <w:t xml:space="preserve">The two updating methods used the same source-training/current-support union. Values average five sessions within participants. Full refitting versus freezing in the 12-participant cohort was the predefined primary comparison; full versus LDA-only was secondary.</w:t>
      </w:r>
    </w:p>
    <w:p>
      <w:pPr>
        <w:pStyle w:val="BodyText"/>
      </w:pPr>
      <w:r>
        <w:t xml:space="preserve">The component gain reflected 16.04 BA points of corrected errors against 10.57 points of newly introduced errors on the same query trials. Mean left- and right-class recall increased by 6.16 and 4.78 points, respectively. These recall intervals individually included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exceeded freezing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p>
      <w:pPr>
        <w:pStyle w:val="BodyText"/>
      </w:pPr>
      <w:r>
        <w:drawing>
          <wp:inline>
            <wp:extent cx="5334000" cy="2795185"/>
            <wp:effectExtent b="0" l="0" r="0" t="0"/>
            <wp:docPr descr="Figure 1" title="" id="31" name="Picture"/>
            <a:graphic>
              <a:graphicData uri="http://schemas.openxmlformats.org/drawingml/2006/picture">
                <pic:pic>
                  <pic:nvPicPr>
                    <pic:cNvPr descr="figures/Fig1_update_components.png" id="32" name="Picture"/>
                    <pic:cNvPicPr>
                      <a:picLocks noChangeArrowheads="1" noChangeAspect="1"/>
                    </pic:cNvPicPr>
                  </pic:nvPicPr>
                  <pic:blipFill>
                    <a:blip r:embed="rId30"/>
                    <a:stretch>
                      <a:fillRect/>
                    </a:stretch>
                  </pic:blipFill>
                  <pic:spPr bwMode="auto">
                    <a:xfrm>
                      <a:off x="0" y="0"/>
                      <a:ext cx="5334000" cy="2795185"/>
                    </a:xfrm>
                    <a:prstGeom prst="rect">
                      <a:avLst/>
                    </a:prstGeom>
                    <a:noFill/>
                    <a:ln w="9525">
                      <a:noFill/>
                      <a:headEnd/>
                      <a:tailEnd/>
                    </a:ln>
                  </pic:spPr>
                </pic:pic>
              </a:graphicData>
            </a:graphic>
          </wp:inline>
        </w:drawing>
      </w:r>
    </w:p>
    <w:p>
      <w:pPr>
        <w:pStyle w:val="BodyText"/>
      </w:pPr>
      <w:r>
        <w:rPr>
          <w:b/>
          <w:bCs/>
        </w:rPr>
        <w:t xml:space="preserve">Figure 1. Spatial-component evidence and strong-reference context.</w:t>
      </w:r>
      <w:r>
        <w:t xml:space="preserve"> </w:t>
      </w:r>
      <w:r>
        <w:t xml:space="preserve">Original primary-cohort component and total contrasts are displayed separately from the six-participant V2 budget profiles. Participant values, cohort means and participant-bootstrap intervals retain their original denominators and endpoint hierarchy. The original full-minus-LDA-only result compares matched labels; the V2 profiles compare separately versioned methods within the discovery cohort.</w:t>
      </w:r>
    </w:p>
    <w:bookmarkEnd w:id="33"/>
    <w:bookmarkStart w:id="34" w:name="X3acbe782c0310254d2ad887e038860115f57f72"/>
    <w:p>
      <w:pPr>
        <w:pStyle w:val="Heading3"/>
      </w:pPr>
      <w:r>
        <w:t xml:space="preserve">Strong alignment controls changed the interpretation of a positive frozen-reference gain</w:t>
      </w:r>
    </w:p>
    <w:p>
      <w:pPr>
        <w:pStyle w:val="FirstParagraph"/>
      </w:pPr>
      <w:r>
        <w:t xml:space="preserve">In the six-participant V2 extension at the 20-label cap, frozen classical decoding achieved 62.15% BA, LDA-only 67.30%, full CSP/LDA 68.65% and EA-CSP 70.37%. The covariance-mixture candidate achieved 69.24%. Its gain over frozen decoding was +7.09 points (4.12–11.55), but its prespecified comparison with EA-CSP was −1.14 points (−3.52–1.14). EA-CSP therefore provided the stronger conventional reference for the next experiment.</w:t>
      </w:r>
    </w:p>
    <w:p>
      <w:pPr>
        <w:pStyle w:val="BodyText"/>
      </w:pPr>
      <w:r>
        <w:t xml:space="preserve">This pattern motivated the more controlled V3 decomposition. V2 compared separately versioned conventional methods within the exposed development group.</w:t>
      </w:r>
    </w:p>
    <w:bookmarkEnd w:id="34"/>
    <w:bookmarkStart w:id="38" w:name="X52f84741972b8ce85162069be3c971b5c03d986"/>
    <w:p>
      <w:pPr>
        <w:pStyle w:val="Heading3"/>
      </w:pPr>
      <w:r>
        <w:t xml:space="preserve">The uncertainty-aware geometric candidate failed its strong comparisons</w:t>
      </w:r>
    </w:p>
    <w:p>
      <w:pPr>
        <w:pStyle w:val="FirstParagraph"/>
      </w:pPr>
      <w:r>
        <w:t xml:space="preserve">At the cap of 20 labels, the geometric candidate achieved 64.68% BA, versus 67.01% for ordinary tangent refitting and 70.37% for saved EA-CSP. Its prespecified primary contrast was −2.33 points (−4.41 to −0.24), and its strong-reference contrast was −5.69 points (−9.30 to −2.22; Table 2). Five of six participant differences were negative in both comparisons. All five support-cap mean contrasts versus tangent refitting were negative (Figure 2).</w:t>
      </w:r>
    </w:p>
    <w:p>
      <w:pPr>
        <w:pStyle w:val="BodyT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Ordinary tangent refitting was the frozen primary comparator. The same-query EA-CSP reference was imported from saved V2 predictions after ordered trial/label verification. All results use the same six discovery participants. Candidate ablations and every budget are retained in the supplementary methods and the machine-readable tables.</w:t>
      </w:r>
    </w:p>
    <w:p>
      <w:pPr>
        <w:pStyle w:val="BodyText"/>
      </w:pPr>
      <w:r>
        <w:t xml:space="preserve">Some internal components carried useful information: separating common and discriminative variation and retaining source-mean noise improved the cap-20 candidate mean over their respective ablations. However, propagating the estimated posterior covariance into prediction reduced BA relative to using the same posterior means with point prediction. Estimated common-location variation exceeded discriminative-contrast variation in every cap-20 session, a descriptive feature of these support-derived estimates. The ablations separate the contributions of mean estimation, variation scales and predictive covariance.</w:t>
      </w:r>
    </w:p>
    <w:p>
      <w:pPr>
        <w:pStyle w:val="BodyText"/>
      </w:pPr>
      <w:r>
        <w:drawing>
          <wp:inline>
            <wp:extent cx="5334000" cy="3376185"/>
            <wp:effectExtent b="0" l="0" r="0" t="0"/>
            <wp:docPr descr="Figure 2" title="" id="36" name="Picture"/>
            <a:graphic>
              <a:graphicData uri="http://schemas.openxmlformats.org/drawingml/2006/picture">
                <pic:pic>
                  <pic:nvPicPr>
                    <pic:cNvPr descr="figures/Fig2_geometry.png" id="37" name="Picture"/>
                    <pic:cNvPicPr>
                      <a:picLocks noChangeArrowheads="1" noChangeAspect="1"/>
                    </pic:cNvPicPr>
                  </pic:nvPicPr>
                  <pic:blipFill>
                    <a:blip r:embed="rId35"/>
                    <a:stretch>
                      <a:fillRect/>
                    </a:stretch>
                  </pic:blipFill>
                  <pic:spPr bwMode="auto">
                    <a:xfrm>
                      <a:off x="0" y="0"/>
                      <a:ext cx="5334000" cy="3376185"/>
                    </a:xfrm>
                    <a:prstGeom prst="rect">
                      <a:avLst/>
                    </a:prstGeom>
                    <a:noFill/>
                    <a:ln w="9525">
                      <a:noFill/>
                      <a:headEnd/>
                      <a:tailEnd/>
                    </a:ln>
                  </pic:spPr>
                </pic:pic>
              </a:graphicData>
            </a:graphic>
          </wp:inline>
        </w:drawing>
      </w:r>
    </w:p>
    <w:p>
      <w:pPr>
        <w:pStyle w:val="BodyText"/>
      </w:pPr>
      <w:r>
        <w:rPr>
          <w:b/>
          <w:bCs/>
        </w:rPr>
        <w:t xml:space="preserve">Figure 2. Geometric candidate, matched controls and ablations.</w:t>
      </w:r>
      <w:r>
        <w:t xml:space="preserve"> </w:t>
      </w:r>
      <w:r>
        <w:t xml:space="preserve">Full support-budget profiles and cap-20 paired contrasts retain ordinary tangent refitting and EA-CSP as strong references. Ablations separate posterior mean estimation, prediction covariance, source-mean noise and common/contrast variation scales. All candidate-versus-ablation and strong-reference contrasts are displayed together; intervals are pointwise participant-bootstrap summaries from the exposed discovery group.</w:t>
      </w:r>
    </w:p>
    <w:bookmarkEnd w:id="38"/>
    <w:bookmarkStart w:id="42" w:name="X7273f392485ac7a9d377e1fa2e295c664b059eb"/>
    <w:p>
      <w:pPr>
        <w:pStyle w:val="Heading3"/>
      </w:pPr>
      <w:r>
        <w:t xml:space="preserve">Fixed source normalization improved the 20-label neural comparison</w:t>
      </w:r>
    </w:p>
    <w:p>
      <w:pPr>
        <w:pStyle w:val="FirstParagraph"/>
      </w:pPr>
      <w:r>
        <w:t xml:space="preserve">At the 20-label cap, ordinary all-parameter adaptation with fixed BN achieved 57.51% BA for individual sources, versus 56.01% with adaptive BN, yielding +1.50 points (0.33–2.74). For pooled sources, the corresponding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Exploratory 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−0.006 [−0.111, 0.092] pp</w:t>
            </w:r>
          </w:p>
        </w:tc>
        <w:tc>
          <w:tcPr/>
          <w:p>
            <w:pPr>
              <w:pStyle w:val="Compact"/>
              <w:spacing w:after="80"/>
              <w:jc w:val="right"/>
            </w:pPr>
            <w:r>
              <w:rPr>
                <w:sz w:val="18"/>
              </w:rPr>
              <w:t xml:space="preserve">+0.029 [0.000, 0.088]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Exploratory Dropout comparison</w:t>
            </w:r>
          </w:p>
        </w:tc>
      </w:tr>
    </w:tbl>
    <w:p>
      <w:pPr>
        <w:pStyle w:val="BodyText"/>
      </w:pPr>
      <w:r>
        <w:t xml:space="preserve">All intervals summarize six participants after averaging fixed seeds and target sessions. Both source regimes use the same participants. The functional-constraint row retains its frozen primary role and shows effects below 0.03 percentage points. The BN-mode contrast changes optimization-time normalization as well as the running state used at inference.</w:t>
      </w:r>
    </w:p>
    <w:p>
      <w:pPr>
        <w:pStyle w:val="BodyText"/>
      </w:pPr>
      <w:r>
        <w:t xml:space="preserve">The cap-specific positive contrast accompanied fewer single-class query predictions. Among 90 nested seed-by-session outcomes, individual-source fixed-BN full updates had eight collapsed predictions versus 16 with adaptive BN; pooled-source counts were zero versus 18. These 90 seed/session observations are nested within six participants.</w:t>
      </w:r>
    </w:p>
    <w:p>
      <w:pPr>
        <w:pStyle w:val="BodyText"/>
      </w:pPr>
      <w:r>
        <w:t xml:space="preserve">The budget curves show the scope of the finding (Figure 3). Individual-source fixed-minus-adaptive BN differences were −0.18, −0.34, −0.46, −0.04 and +1.50 points across caps 4–20. Pooled-source differences were +0.75, +0.01, +0.48, +1.31 and +1.91 points. The endpoint contrast emerged at the final support cap. With batch size 16, the final cap also changed the number and size of minibatches: up to 16 support trials supplied one batch per epoch, whereas 19/20 supplied two. Three BN modules recorded 60 versus 120 cumulative batch-counter increments over 20 epochs. Cross-budget changes combine sample quantity, class composition and the normalization-update schedule.</w:t>
      </w:r>
    </w:p>
    <w:p>
      <w:pPr>
        <w:pStyle w:val="BodyText"/>
      </w:pPr>
      <w:r>
        <w:drawing>
          <wp:inline>
            <wp:extent cx="5334000" cy="2692316"/>
            <wp:effectExtent b="0" l="0" r="0" t="0"/>
            <wp:docPr descr="Figure 3" title="" id="40" name="Picture"/>
            <a:graphic>
              <a:graphicData uri="http://schemas.openxmlformats.org/drawingml/2006/picture">
                <pic:pic>
                  <pic:nvPicPr>
                    <pic:cNvPr descr="figures/Fig3_neural_normalization.png" id="41" name="Picture"/>
                    <pic:cNvPicPr>
                      <a:picLocks noChangeArrowheads="1" noChangeAspect="1"/>
                    </pic:cNvPicPr>
                  </pic:nvPicPr>
                  <pic:blipFill>
                    <a:blip r:embed="rId39"/>
                    <a:stretch>
                      <a:fillRect/>
                    </a:stretch>
                  </pic:blipFill>
                  <pic:spPr bwMode="auto">
                    <a:xfrm>
                      <a:off x="0" y="0"/>
                      <a:ext cx="5334000" cy="2692316"/>
                    </a:xfrm>
                    <a:prstGeom prst="rect">
                      <a:avLst/>
                    </a:prstGeom>
                    <a:noFill/>
                    <a:ln w="9525">
                      <a:noFill/>
                      <a:headEnd/>
                      <a:tailEnd/>
                    </a:ln>
                  </pic:spPr>
                </pic:pic>
              </a:graphicData>
            </a:graphic>
          </wp:inline>
        </w:drawing>
      </w:r>
    </w:p>
    <w:p>
      <w:pPr>
        <w:pStyle w:val="BodyText"/>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bookmarkEnd w:id="42"/>
    <w:bookmarkStart w:id="43" w:name="X343bb11412b7fc06cf42c26135d973a80d59d8a"/>
    <w:p>
      <w:pPr>
        <w:pStyle w:val="Heading3"/>
      </w:pPr>
      <w:r>
        <w:t xml:space="preserve">Source pooling and functional preservation did not deliver additional target gains</w:t>
      </w:r>
    </w:p>
    <w:p>
      <w:pPr>
        <w:pStyle w:val="FirstParagraph"/>
      </w:pPr>
      <w:r>
        <w:t xml:space="preserve">Frozen individual-source models achieved 56.74% target BA, compared with 55.26% for pooled-source models, a pooled-minus-individual difference of −1.48 points (−2.90 to −0.20). Source-query BA was 56.11% and 57.78%, respectively. Weak source discrimination was already present before target-session transfer. The pooled-source condition yielded a lower target mean in this architecture and training regime.</w:t>
      </w:r>
    </w:p>
    <w:p>
      <w:pPr>
        <w:pStyle w:val="BodyText"/>
      </w:pPr>
      <w:r>
        <w:t xml:space="preserve">The three pooled models selected epochs 14, 20 and 17 by validation loss. Their final training losses were approximately 0.20–0.22, while final validation losses were 0.91–0.96, above the selected validation losses near 0.68. These histories show training-loss reduction alongside weak held-out generalization within the source domain.</w:t>
      </w:r>
    </w:p>
    <w:p>
      <w:pPr>
        <w:pStyle w:val="BodyText"/>
      </w:pPr>
      <w:r>
        <w:t xml:space="preserve">At the core KL bound 0.01, the functional constraint changed the cap-20 mean relative to ordinary fixed-BN adaptation by −0.006 points for individual sources and +0.029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43"/>
    <w:bookmarkStart w:id="47" w:name="Xd9d6fe57f558d227f61edd57e42af574ff0a7fa"/>
    <w:p>
      <w:pPr>
        <w:pStyle w:val="Heading3"/>
      </w:pPr>
      <w:r>
        <w:t xml:space="preserve">Mechanism simulations tested the estimator beyond the EEG comparison</w:t>
      </w:r>
    </w:p>
    <w:p>
      <w:pPr>
        <w:pStyle w:val="FirstParagraph"/>
      </w:pPr>
      <w:r>
        <w:t xml:space="preserve">The full synthetic grid contained 172,800 numeric method-by-condition-by-repetition results. Equal-grid BA was 70.36% for the candidate and 76.19% for tangent refitting, a difference of−5.83 points; 376 of 384 scenario means favored refitting. Candidate feature-mean squared error was also larger. Adding posterior covariance to identical candidate means reduced mean cross entropy by 0.341 but changed BA by−0.04 points. Thus, the probability-score improvement and classification endpoint moved differently (Figure 4).</w:t>
      </w:r>
    </w:p>
    <w:p>
      <w:pPr>
        <w:pStyle w:val="BodyText"/>
      </w:pPr>
      <w:r>
        <w:drawing>
          <wp:inline>
            <wp:extent cx="5334000" cy="5077927"/>
            <wp:effectExtent b="0" l="0" r="0" t="0"/>
            <wp:docPr descr="Figure 4" title="" id="45" name="Picture"/>
            <a:graphic>
              <a:graphicData uri="http://schemas.openxmlformats.org/drawingml/2006/picture">
                <pic:pic>
                  <pic:nvPicPr>
                    <pic:cNvPr descr="figures/Fig4_mechanisms.png" id="46" name="Picture"/>
                    <pic:cNvPicPr>
                      <a:picLocks noChangeArrowheads="1" noChangeAspect="1"/>
                    </pic:cNvPicPr>
                  </pic:nvPicPr>
                  <pic:blipFill>
                    <a:blip r:embed="rId44"/>
                    <a:stretch>
                      <a:fillRect/>
                    </a:stretch>
                  </pic:blipFill>
                  <pic:spPr bwMode="auto">
                    <a:xfrm>
                      <a:off x="0" y="0"/>
                      <a:ext cx="5334000" cy="5077927"/>
                    </a:xfrm>
                    <a:prstGeom prst="rect">
                      <a:avLst/>
                    </a:prstGeom>
                    <a:noFill/>
                    <a:ln w="9525">
                      <a:noFill/>
                      <a:headEnd/>
                      <a:tailEnd/>
                    </a:ln>
                  </pic:spPr>
                </pic:pic>
              </a:graphicData>
            </a:graphic>
          </wp:inline>
        </w:drawing>
      </w:r>
    </w:p>
    <w:p>
      <w:pPr>
        <w:pStyle w:val="BodyText"/>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bookmarkEnd w:id="47"/>
    <w:bookmarkEnd w:id="48"/>
    <w:bookmarkStart w:id="54" w:name="discussion"/>
    <w:p>
      <w:pPr>
        <w:pStyle w:val="Heading2"/>
      </w:pPr>
      <w:r>
        <w:t xml:space="preserve">Discussion</w:t>
      </w:r>
    </w:p>
    <w:bookmarkStart w:id="49" w:name="Xcee9c9eb3886f764d6147e22ac2a14af37e98f4"/>
    <w:p>
      <w:pPr>
        <w:pStyle w:val="Heading3"/>
      </w:pPr>
      <w:r>
        <w:t xml:space="preserve">Updating the right component was more useful than updating every component</w:t>
      </w:r>
    </w:p>
    <w:p>
      <w:pPr>
        <w:pStyle w:val="FirstParagraph"/>
      </w:pPr>
      <w:r>
        <w:t xml:space="preserve">The matched-label comparison identifies a substantial spatial-component gain. Full CSP/LDA refitting added 5.47 BA points beyond classifier-only recalibration in the original primary cohort and supplied 73.7% of the mean total improvement over freezing. Holding the fitting examples constant gives this result a clearer interpretation than an updated-versus-frozen comparison alone: the available labels supported a useful change in the spatial representation as well as in the class decision rule.</w:t>
      </w:r>
    </w:p>
    <w:p>
      <w:pPr>
        <w:pStyle w:val="BodyText"/>
      </w:pPr>
      <w:r>
        <w:t xml:space="preserve">The neural extension adds a complementary observation. At the final support cap, fixed-source BN during full weight adaptation outperformed adaptive BN in both initialization regimes, with fewer collapsed seed/session predictions. This contrasts with the successful CSP spatial update. Together, the comparisons show why</w:t>
      </w:r>
      <w:r>
        <w:t xml:space="preserve"> </w:t>
      </w:r>
      <w:r>
        <w:t xml:space="preserve">“</w:t>
      </w:r>
      <w:r>
        <w:t xml:space="preserve">adapt the representation</w:t>
      </w:r>
      <w:r>
        <w:t xml:space="preserve">”</w:t>
      </w:r>
      <w:r>
        <w:t xml:space="preserve"> </w:t>
      </w:r>
      <w:r>
        <w:t xml:space="preserve">is too broad a prescription: a supervised spatial estimator and repeated neural normalization updates are different operations with different data requirements. The controlled comparison identifies which update supplied the gain in each evaluated setting.</w:t>
      </w:r>
    </w:p>
    <w:p>
      <w:pPr>
        <w:pStyle w:val="BodyText"/>
      </w:pPr>
      <w:r>
        <w:t xml:space="preserve">The principal conventional result also has a direct trial-level explanation. The added spatial update corrected more class-balanced errors than it introduced, and its mean benefit involved both labels. Positive session means and participant-deletion summaries show that its cohort average was not supplied by a single participant or only one point in the session sequence. The participant and development-cohort results document variation around this positive primary-cohort mean.</w:t>
      </w:r>
    </w:p>
    <w:bookmarkEnd w:id="49"/>
    <w:bookmarkStart w:id="50" w:name="X831fc0c928d34bfffde6899da5332b2ee1914bd"/>
    <w:p>
      <w:pPr>
        <w:pStyle w:val="Heading3"/>
      </w:pPr>
      <w:r>
        <w:t xml:space="preserve">Normalization mode is a concrete, budget-dependent design variable</w:t>
      </w:r>
    </w:p>
    <w:p>
      <w:pPr>
        <w:pStyle w:val="FirstParagraph"/>
      </w:pPr>
      <w:r>
        <w:t xml:space="preserve">The BN comparison holds source initialization, support, trainable parameters, Dropout and optimizer schedule fixed within each budget. It identifies an implementation choice often bundled into fine-tuning. Both modes use identical support and optimization budgets. Their cap-20 difference isolates the BN-mode choice within this training procedure.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These details distinguish our information regime from reports using abundant target-domain statistics or continuous online adaptation</w:t>
      </w:r>
      <w:r>
        <w:t xml:space="preserve"> </w:t>
      </w:r>
      <w:r>
        <w:t xml:space="preserve">[11, 12]</w:t>
      </w:r>
      <w:r>
        <w:t xml:space="preserve">. They also give a focused next hypothesis: when adaptation repeatedly revisits a short support run, normalization mode and exposure count should be controlled independently of label count. A follow-up can vary the BN update schedule while preserving the trained sources, support identities and comparison hierarchy.</w:t>
      </w:r>
    </w:p>
    <w:bookmarkEnd w:id="50"/>
    <w:bookmarkStart w:id="51" w:name="Xd8ff83f0f7e39846ffab1af369c32630db97a13"/>
    <w:p>
      <w:pPr>
        <w:pStyle w:val="Heading3"/>
      </w:pPr>
      <w:r>
        <w:t xml:space="preserve">Strong controls separated practical gains from candidate-method novelty</w:t>
      </w:r>
    </w:p>
    <w:p>
      <w:pPr>
        <w:pStyle w:val="FirstParagraph"/>
      </w:pPr>
      <w:r>
        <w:t xml:space="preserve">EA-CSP outperformed the V2 covariance-mixture candidate and the V3 uncertainty-aware candidate. The latter also underperformed ordinary tangent refitting in the same feature family. These comparisons distinguish the value of recalibration from the value of a particular new estimator.</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Similarly, source-anchor KL was enforced but changed cap-20 BA by less than 0.03 points. Alignment, source regularization and functional preservation are established</w:t>
      </w:r>
      <w:r>
        <w:t xml:space="preserve"> </w:t>
      </w:r>
      <w:r>
        <w:t xml:space="preserve">[7, 13–15]</w:t>
      </w:r>
      <w:r>
        <w:t xml:space="preserve">. The present evidence identifies their value through explicit information budgets and matched component comparisons.</w:t>
      </w:r>
    </w:p>
    <w:bookmarkEnd w:id="51"/>
    <w:bookmarkStart w:id="52" w:name="X3ff8633133947a2415b0afb3c89f74cc5858b37"/>
    <w:p>
      <w:pPr>
        <w:pStyle w:val="Heading3"/>
      </w:pPr>
      <w:r>
        <w:t xml:space="preserve">Source quality and task measurement constrain interpretation</w:t>
      </w:r>
    </w:p>
    <w:p>
      <w:pPr>
        <w:pStyle w:val="FirstParagraph"/>
      </w:pPr>
      <w:r>
        <w:t xml:space="preserve">Original primary-cohort EEGNet BA was 52.92% on source query and 51.58% on target sessions. The extension’s sources likewise showed weak held-out discrimination despite falling training losses. Source generalization therefore contributes to interpreting target performance alongside session transfer.</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52"/>
    <w:bookmarkStart w:id="53" w:name="scope-and-next-validation"/>
    <w:p>
      <w:pPr>
        <w:pStyle w:val="Heading3"/>
      </w:pPr>
      <w:r>
        <w:t xml:space="preserve">Scope and next validation</w:t>
      </w:r>
    </w:p>
    <w:p>
      <w:pPr>
        <w:pStyle w:val="FirstParagraph"/>
      </w:pPr>
      <w:r>
        <w:t xml:space="preserve">The study uses one public longitudinal cohort. The original primary hierarchy is retained; V2/V3, prediction transitions and sensitivity analyses used previously exposed data. Their intervals describe discovery-stage component effects. Pooled teachers share participants and change source-label budgets; the independent sample remains the participant cohort.</w:t>
      </w:r>
    </w:p>
    <w:p>
      <w:pPr>
        <w:pStyle w:val="BodyText"/>
      </w:pPr>
      <w:r>
        <w:t xml:space="preserve">Cue-anchored windows may contain cue, imagery, feedback or post-task activity. Phase-specific decoding requires original marker-level reconstruction. Amplitude-restricted queries retained positive spatial gains in eligible participants, while training/support artifacts and other query artifacts remain possible. Zero-phase filtering makes the present endpoint offline.</w:t>
      </w:r>
    </w:p>
    <w:p>
      <w:pPr>
        <w:pStyle w:val="BodyText"/>
      </w:pPr>
      <w:r>
        <w:t xml:space="preserve">Independent longitudinal validation should freeze the matched-label spatial comparison and normalization-mode contrast before accessing new query outcomes. The current findings identify a substantial spatial-refitting increment and a distinct, budget-dependent normalization effect.</w:t>
      </w:r>
    </w:p>
    <w:bookmarkEnd w:id="53"/>
    <w:bookmarkEnd w:id="54"/>
    <w:bookmarkStart w:id="55" w:name="conclusions"/>
    <w:p>
      <w:pPr>
        <w:pStyle w:val="Heading2"/>
      </w:pPr>
      <w:r>
        <w:t xml:space="preserve">Conclusions</w:t>
      </w:r>
    </w:p>
    <w:p>
      <w:pPr>
        <w:pStyle w:val="FirstParagraph"/>
      </w:pPr>
      <w:r>
        <w:t xml:space="preserve">Under matched source and current-session labels, spatial-filter refitting supplied most of the observed conventional-decoder recalibration gain. The added spatial update improved BA by 5.47 points beyond LDA-only recalibration in the primary cohort and accounted for 73.7% of the 7.42-point total mean gain. In the later six-person discovery experiment, fixed-source BN improved the final-cap neural comparison by 1.50–1.91 points, with budget-dependent profiles. The uncertainty-aware and functional-constraint candidates added no strong-comparator benefit. The matched-label spatial gain identifies filter updating as the principal contributor to the original recalibration improvement, with normalization mode providing a distinct neural design variable.</w:t>
      </w:r>
    </w:p>
    <w:bookmarkEnd w:id="55"/>
    <w:bookmarkStart w:id="56"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[16]</w:t>
      </w:r>
      <w:r>
        <w:t xml:space="preserve">. Code, configurations, original results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56"/>
    <w:bookmarkStart w:id="57" w:name="acknowledgments"/>
    <w:p>
      <w:pPr>
        <w:pStyle w:val="Heading2"/>
      </w:pPr>
      <w:r>
        <w:t xml:space="preserve">Acknowledgments</w:t>
      </w:r>
    </w:p>
    <w:p>
      <w:pPr>
        <w:pStyle w:val="FirstParagraph"/>
      </w:pPr>
      <w:r>
        <w:t xml:space="preserve">The author thanks the researchers who released Kumar2024. OpenAI ChatGPT/Codex assisted with code, saved-result checks, plotting code, reference checks, drafting, editing and document preparation. Checks included trial matching, checksum verification and endpoint reconstruction. The author is responsible for the content.</w:t>
      </w:r>
    </w:p>
    <w:bookmarkEnd w:id="57"/>
    <w:bookmarkStart w:id="103" w:name="references"/>
    <w:p>
      <w:pPr>
        <w:pStyle w:val="Heading2"/>
      </w:pPr>
      <w:r>
        <w:t xml:space="preserve">References</w:t>
      </w:r>
    </w:p>
    <w:bookmarkStart w:id="102" w:name="refs"/>
    <w:bookmarkStart w:id="59"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58">
        <w:r>
          <w:rPr>
            <w:rStyle w:val="Hyperlink"/>
          </w:rPr>
          <w:t xml:space="preserve">10.1088/1741-2552/aab2f2</w:t>
        </w:r>
      </w:hyperlink>
    </w:p>
    <w:bookmarkEnd w:id="59"/>
    <w:bookmarkStart w:id="61"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60">
        <w:r>
          <w:rPr>
            <w:rStyle w:val="Hyperlink"/>
          </w:rPr>
          <w:t xml:space="preserve">10.1109/86.895946</w:t>
        </w:r>
      </w:hyperlink>
    </w:p>
    <w:bookmarkEnd w:id="61"/>
    <w:bookmarkStart w:id="63"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62">
        <w:r>
          <w:rPr>
            <w:rStyle w:val="Hyperlink"/>
          </w:rPr>
          <w:t xml:space="preserve">10.1109/msp.2008.4408441</w:t>
        </w:r>
      </w:hyperlink>
    </w:p>
    <w:bookmarkEnd w:id="63"/>
    <w:bookmarkStart w:id="65"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64">
        <w:r>
          <w:rPr>
            <w:rStyle w:val="Hyperlink"/>
          </w:rPr>
          <w:t xml:space="preserve">10.1109/TBME.2010.2093133</w:t>
        </w:r>
      </w:hyperlink>
    </w:p>
    <w:bookmarkEnd w:id="65"/>
    <w:bookmarkStart w:id="67"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66">
        <w:r>
          <w:rPr>
            <w:rStyle w:val="Hyperlink"/>
          </w:rPr>
          <w:t xml:space="preserve">10.1162/NECO_a_00474</w:t>
        </w:r>
      </w:hyperlink>
    </w:p>
    <w:bookmarkEnd w:id="67"/>
    <w:bookmarkStart w:id="69"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68">
        <w:r>
          <w:rPr>
            <w:rStyle w:val="Hyperlink"/>
          </w:rPr>
          <w:t xml:space="preserve">10.1016/j.compbiomed.2015.03.023</w:t>
        </w:r>
      </w:hyperlink>
    </w:p>
    <w:bookmarkEnd w:id="69"/>
    <w:bookmarkStart w:id="71"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70">
        <w:r>
          <w:rPr>
            <w:rStyle w:val="Hyperlink"/>
          </w:rPr>
          <w:t xml:space="preserve">10.1109/TBME.2019.2913914</w:t>
        </w:r>
      </w:hyperlink>
    </w:p>
    <w:bookmarkEnd w:id="71"/>
    <w:bookmarkStart w:id="73"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72">
        <w:r>
          <w:rPr>
            <w:rStyle w:val="Hyperlink"/>
          </w:rPr>
          <w:t xml:space="preserve">10.1109/TBME.2017.2742541</w:t>
        </w:r>
      </w:hyperlink>
    </w:p>
    <w:bookmarkEnd w:id="73"/>
    <w:bookmarkStart w:id="75"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74">
        <w:r>
          <w:rPr>
            <w:rStyle w:val="Hyperlink"/>
          </w:rPr>
          <w:t xml:space="preserve">10.1093/pnasnexus/pgae076</w:t>
        </w:r>
      </w:hyperlink>
    </w:p>
    <w:bookmarkEnd w:id="75"/>
    <w:bookmarkStart w:id="77"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76">
        <w:r>
          <w:rPr>
            <w:rStyle w:val="Hyperlink"/>
          </w:rPr>
          <w:t xml:space="preserve">10.1093/pnasnexus/pgae137</w:t>
        </w:r>
      </w:hyperlink>
    </w:p>
    <w:bookmarkEnd w:id="77"/>
    <w:bookmarkStart w:id="79" w:name="ref-adabn2016"/>
    <w:p>
      <w:pPr>
        <w:pStyle w:val="Bibliography"/>
      </w:pPr>
      <w:r>
        <w:t xml:space="preserve">11.</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78">
        <w:r>
          <w:rPr>
            <w:rStyle w:val="Hyperlink"/>
          </w:rPr>
          <w:t xml:space="preserve">https://arxiv.org/abs/1603.04779</w:t>
        </w:r>
      </w:hyperlink>
    </w:p>
    <w:bookmarkEnd w:id="79"/>
    <w:bookmarkStart w:id="81" w:name="ref-wimpff2025continual"/>
    <w:p>
      <w:pPr>
        <w:pStyle w:val="Bibliography"/>
      </w:pPr>
      <w:r>
        <w:t xml:space="preserve">12.</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80">
        <w:r>
          <w:rPr>
            <w:rStyle w:val="Hyperlink"/>
          </w:rPr>
          <w:t xml:space="preserve">10.1109/EMBC58623.2025.11253543</w:t>
        </w:r>
      </w:hyperlink>
    </w:p>
    <w:bookmarkEnd w:id="81"/>
    <w:bookmarkStart w:id="83" w:name="ref-l2sp2018"/>
    <w:p>
      <w:pPr>
        <w:pStyle w:val="Bibliography"/>
      </w:pPr>
      <w:r>
        <w:t xml:space="preserve">13.</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82">
        <w:r>
          <w:rPr>
            <w:rStyle w:val="Hyperlink"/>
          </w:rPr>
          <w:t xml:space="preserve">https://proceedings.mlr.press/v80/li18a.html</w:t>
        </w:r>
      </w:hyperlink>
    </w:p>
    <w:bookmarkEnd w:id="83"/>
    <w:bookmarkStart w:id="85" w:name="ref-lwf2016"/>
    <w:p>
      <w:pPr>
        <w:pStyle w:val="Bibliography"/>
      </w:pPr>
      <w:r>
        <w:t xml:space="preserve">14.</w:t>
      </w:r>
      <w:r>
        <w:t xml:space="preserve"> </w:t>
      </w:r>
      <w:r>
        <w:t xml:space="preserve">	</w:t>
      </w:r>
      <w:r>
        <w:t xml:space="preserve">Li Z, Hoiem D.</w:t>
      </w:r>
      <w:r>
        <w:t xml:space="preserve"> </w:t>
      </w:r>
      <w:r>
        <w:t xml:space="preserve">Learning without Forgetting</w:t>
      </w:r>
      <w:r>
        <w:t xml:space="preserve">. 2016. Available:</w:t>
      </w:r>
      <w:r>
        <w:t xml:space="preserve"> </w:t>
      </w:r>
      <w:hyperlink r:id="rId84">
        <w:r>
          <w:rPr>
            <w:rStyle w:val="Hyperlink"/>
          </w:rPr>
          <w:t xml:space="preserve">https://arxiv.org/abs/1606.09282</w:t>
        </w:r>
      </w:hyperlink>
    </w:p>
    <w:bookmarkEnd w:id="85"/>
    <w:bookmarkStart w:id="87" w:name="ref-trpo2015"/>
    <w:p>
      <w:pPr>
        <w:pStyle w:val="Bibliography"/>
      </w:pPr>
      <w:r>
        <w:t xml:space="preserve">15.</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86">
        <w:r>
          <w:rPr>
            <w:rStyle w:val="Hyperlink"/>
          </w:rPr>
          <w:t xml:space="preserve">https://proceedings.mlr.press/v37/schulman15.html</w:t>
        </w:r>
      </w:hyperlink>
    </w:p>
    <w:bookmarkEnd w:id="87"/>
    <w:bookmarkStart w:id="89" w:name="ref-nemar177"/>
    <w:p>
      <w:pPr>
        <w:pStyle w:val="Bibliography"/>
      </w:pPr>
      <w:r>
        <w:t xml:space="preserve">16.</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88">
        <w:r>
          <w:rPr>
            <w:rStyle w:val="Hyperlink"/>
          </w:rPr>
          <w:t xml:space="preserve">10.82901/nemar.nm000177.v1.0.5</w:t>
        </w:r>
      </w:hyperlink>
    </w:p>
    <w:bookmarkEnd w:id="89"/>
    <w:bookmarkStart w:id="91" w:name="ref-china2023ethics"/>
    <w:p>
      <w:pPr>
        <w:pStyle w:val="Bibliography"/>
      </w:pPr>
      <w:r>
        <w:t xml:space="preserve">17.</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90">
        <w:r>
          <w:rPr>
            <w:rStyle w:val="Hyperlink"/>
          </w:rPr>
          <w:t xml:space="preserve">https://www.gov.cn/zhengce/zhengceku/2023-02/28/content_5743658.htm</w:t>
        </w:r>
      </w:hyperlink>
    </w:p>
    <w:bookmarkEnd w:id="91"/>
    <w:bookmarkStart w:id="93" w:name="ref-kumarcodebook"/>
    <w:p>
      <w:pPr>
        <w:pStyle w:val="Bibliography"/>
      </w:pPr>
      <w:r>
        <w:t xml:space="preserve">18.</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92">
        <w:r>
          <w:rPr>
            <w:rStyle w:val="Hyperlink"/>
          </w:rPr>
          <w:t xml:space="preserve">https://github.com/neurosatya/TransLearning/blob/548470542e63f97ab777684c1f5e4f1cace4b8ed/Dataset_Description.pdf</w:t>
        </w:r>
      </w:hyperlink>
    </w:p>
    <w:bookmarkEnd w:id="93"/>
    <w:bookmarkStart w:id="95" w:name="ref-jayaram2018"/>
    <w:p>
      <w:pPr>
        <w:pStyle w:val="Bibliography"/>
      </w:pPr>
      <w:r>
        <w:t xml:space="preserve">19.</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94">
        <w:r>
          <w:rPr>
            <w:rStyle w:val="Hyperlink"/>
          </w:rPr>
          <w:t xml:space="preserve">10.1088/1741-2552/aadea0</w:t>
        </w:r>
      </w:hyperlink>
    </w:p>
    <w:bookmarkEnd w:id="95"/>
    <w:bookmarkStart w:id="97" w:name="ref-ledoit2004"/>
    <w:p>
      <w:pPr>
        <w:pStyle w:val="Bibliography"/>
      </w:pPr>
      <w:r>
        <w:t xml:space="preserve">20.</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96">
        <w:r>
          <w:rPr>
            <w:rStyle w:val="Hyperlink"/>
          </w:rPr>
          <w:t xml:space="preserve">10.1016/s0047-259x(03)00096-4</w:t>
        </w:r>
      </w:hyperlink>
    </w:p>
    <w:bookmarkEnd w:id="97"/>
    <w:bookmarkStart w:id="99" w:name="ref-lawhern2018"/>
    <w:p>
      <w:pPr>
        <w:pStyle w:val="Bibliography"/>
      </w:pPr>
      <w:r>
        <w:t xml:space="preserve">21.</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98">
        <w:r>
          <w:rPr>
            <w:rStyle w:val="Hyperlink"/>
          </w:rPr>
          <w:t xml:space="preserve">10.1088/1741-2552/aace8c</w:t>
        </w:r>
      </w:hyperlink>
    </w:p>
    <w:bookmarkEnd w:id="99"/>
    <w:bookmarkStart w:id="101" w:name="ref-schirrmeister2017"/>
    <w:p>
      <w:pPr>
        <w:pStyle w:val="Bibliography"/>
      </w:pPr>
      <w:r>
        <w:t xml:space="preserve">22.</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100">
        <w:r>
          <w:rPr>
            <w:rStyle w:val="Hyperlink"/>
          </w:rPr>
          <w:t xml:space="preserve">10.1002/hbm.23730</w:t>
        </w:r>
      </w:hyperlink>
    </w:p>
    <w:bookmarkEnd w:id="101"/>
    <w:bookmarkEnd w:id="102"/>
    <w:bookmarkEnd w:id="103"/>
    <w:bookmarkStart w:id="104"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104"/>
    <w:bookmarkEnd w:id="105"/>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 Id="rId39" Type="http://schemas.openxmlformats.org/officeDocument/2006/relationships/image" Target="media/rId39.png"/><Relationship Id="rId44" Type="http://schemas.openxmlformats.org/officeDocument/2006/relationships/image" Target="media/rId44.png"/><Relationship Id="rId78" Type="http://schemas.openxmlformats.org/officeDocument/2006/relationships/hyperlink" Target="https://arxiv.org/abs/1603.04779" TargetMode="External"/><Relationship Id="rId84" Type="http://schemas.openxmlformats.org/officeDocument/2006/relationships/hyperlink" Target="https://arxiv.org/abs/1606.09282" TargetMode="External"/><Relationship Id="rId100" Type="http://schemas.openxmlformats.org/officeDocument/2006/relationships/hyperlink" Target="https://doi.org/10.1002/hbm.23730" TargetMode="External"/><Relationship Id="rId68" Type="http://schemas.openxmlformats.org/officeDocument/2006/relationships/hyperlink" Target="https://doi.org/10.1016/j.compbiomed.2015.03.023" TargetMode="External"/><Relationship Id="rId96" Type="http://schemas.openxmlformats.org/officeDocument/2006/relationships/hyperlink" Target="https://doi.org/10.1016/s0047-259x(03)00096-4" TargetMode="External"/><Relationship Id="rId58" Type="http://schemas.openxmlformats.org/officeDocument/2006/relationships/hyperlink" Target="https://doi.org/10.1088/1741-2552/aab2f2" TargetMode="External"/><Relationship Id="rId98" Type="http://schemas.openxmlformats.org/officeDocument/2006/relationships/hyperlink" Target="https://doi.org/10.1088/1741-2552/aace8c" TargetMode="External"/><Relationship Id="rId94" Type="http://schemas.openxmlformats.org/officeDocument/2006/relationships/hyperlink" Target="https://doi.org/10.1088/1741-2552/aadea0" TargetMode="External"/><Relationship Id="rId74" Type="http://schemas.openxmlformats.org/officeDocument/2006/relationships/hyperlink" Target="https://doi.org/10.1093/pnasnexus/pgae076" TargetMode="External"/><Relationship Id="rId76" Type="http://schemas.openxmlformats.org/officeDocument/2006/relationships/hyperlink" Target="https://doi.org/10.1093/pnasnexus/pgae137" TargetMode="External"/><Relationship Id="rId60" Type="http://schemas.openxmlformats.org/officeDocument/2006/relationships/hyperlink" Target="https://doi.org/10.1109/86.895946" TargetMode="External"/><Relationship Id="rId80" Type="http://schemas.openxmlformats.org/officeDocument/2006/relationships/hyperlink" Target="https://doi.org/10.1109/EMBC58623.2025.11253543" TargetMode="External"/><Relationship Id="rId64" Type="http://schemas.openxmlformats.org/officeDocument/2006/relationships/hyperlink" Target="https://doi.org/10.1109/TBME.2010.2093133" TargetMode="External"/><Relationship Id="rId72" Type="http://schemas.openxmlformats.org/officeDocument/2006/relationships/hyperlink" Target="https://doi.org/10.1109/TBME.2017.2742541" TargetMode="External"/><Relationship Id="rId70" Type="http://schemas.openxmlformats.org/officeDocument/2006/relationships/hyperlink" Target="https://doi.org/10.1109/TBME.2019.2913914" TargetMode="External"/><Relationship Id="rId62" Type="http://schemas.openxmlformats.org/officeDocument/2006/relationships/hyperlink" Target="https://doi.org/10.1109/msp.2008.4408441" TargetMode="External"/><Relationship Id="rId66" Type="http://schemas.openxmlformats.org/officeDocument/2006/relationships/hyperlink" Target="https://doi.org/10.1162/NECO_a_00474" TargetMode="External"/><Relationship Id="rId88" Type="http://schemas.openxmlformats.org/officeDocument/2006/relationships/hyperlink" Target="https://doi.org/10.82901/nemar.nm000177.v1.0.5" TargetMode="External"/><Relationship Id="rId92" Type="http://schemas.openxmlformats.org/officeDocument/2006/relationships/hyperlink" Target="https://github.com/neurosatya/TransLearning/blob/548470542e63f97ab777684c1f5e4f1cace4b8ed/Dataset_Description.pdf" TargetMode="External"/><Relationship Id="rId86" Type="http://schemas.openxmlformats.org/officeDocument/2006/relationships/hyperlink" Target="https://proceedings.mlr.press/v37/schulman15.html" TargetMode="External"/><Relationship Id="rId82" Type="http://schemas.openxmlformats.org/officeDocument/2006/relationships/hyperlink" Target="https://proceedings.mlr.press/v80/li18a.html" TargetMode="External"/><Relationship Id="rId90"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8" Type="http://schemas.openxmlformats.org/officeDocument/2006/relationships/hyperlink" Target="https://arxiv.org/abs/1603.04779" TargetMode="External"/><Relationship Id="rId84" Type="http://schemas.openxmlformats.org/officeDocument/2006/relationships/hyperlink" Target="https://arxiv.org/abs/1606.09282" TargetMode="External"/><Relationship Id="rId100" Type="http://schemas.openxmlformats.org/officeDocument/2006/relationships/hyperlink" Target="https://doi.org/10.1002/hbm.23730" TargetMode="External"/><Relationship Id="rId68" Type="http://schemas.openxmlformats.org/officeDocument/2006/relationships/hyperlink" Target="https://doi.org/10.1016/j.compbiomed.2015.03.023" TargetMode="External"/><Relationship Id="rId96" Type="http://schemas.openxmlformats.org/officeDocument/2006/relationships/hyperlink" Target="https://doi.org/10.1016/s0047-259x(03)00096-4" TargetMode="External"/><Relationship Id="rId58" Type="http://schemas.openxmlformats.org/officeDocument/2006/relationships/hyperlink" Target="https://doi.org/10.1088/1741-2552/aab2f2" TargetMode="External"/><Relationship Id="rId98" Type="http://schemas.openxmlformats.org/officeDocument/2006/relationships/hyperlink" Target="https://doi.org/10.1088/1741-2552/aace8c" TargetMode="External"/><Relationship Id="rId94" Type="http://schemas.openxmlformats.org/officeDocument/2006/relationships/hyperlink" Target="https://doi.org/10.1088/1741-2552/aadea0" TargetMode="External"/><Relationship Id="rId74" Type="http://schemas.openxmlformats.org/officeDocument/2006/relationships/hyperlink" Target="https://doi.org/10.1093/pnasnexus/pgae076" TargetMode="External"/><Relationship Id="rId76" Type="http://schemas.openxmlformats.org/officeDocument/2006/relationships/hyperlink" Target="https://doi.org/10.1093/pnasnexus/pgae137" TargetMode="External"/><Relationship Id="rId60" Type="http://schemas.openxmlformats.org/officeDocument/2006/relationships/hyperlink" Target="https://doi.org/10.1109/86.895946" TargetMode="External"/><Relationship Id="rId80" Type="http://schemas.openxmlformats.org/officeDocument/2006/relationships/hyperlink" Target="https://doi.org/10.1109/EMBC58623.2025.11253543" TargetMode="External"/><Relationship Id="rId64" Type="http://schemas.openxmlformats.org/officeDocument/2006/relationships/hyperlink" Target="https://doi.org/10.1109/TBME.2010.2093133" TargetMode="External"/><Relationship Id="rId72" Type="http://schemas.openxmlformats.org/officeDocument/2006/relationships/hyperlink" Target="https://doi.org/10.1109/TBME.2017.2742541" TargetMode="External"/><Relationship Id="rId70" Type="http://schemas.openxmlformats.org/officeDocument/2006/relationships/hyperlink" Target="https://doi.org/10.1109/TBME.2019.2913914" TargetMode="External"/><Relationship Id="rId62" Type="http://schemas.openxmlformats.org/officeDocument/2006/relationships/hyperlink" Target="https://doi.org/10.1109/msp.2008.4408441" TargetMode="External"/><Relationship Id="rId66" Type="http://schemas.openxmlformats.org/officeDocument/2006/relationships/hyperlink" Target="https://doi.org/10.1162/NECO_a_00474" TargetMode="External"/><Relationship Id="rId88" Type="http://schemas.openxmlformats.org/officeDocument/2006/relationships/hyperlink" Target="https://doi.org/10.82901/nemar.nm000177.v1.0.5" TargetMode="External"/><Relationship Id="rId92" Type="http://schemas.openxmlformats.org/officeDocument/2006/relationships/hyperlink" Target="https://github.com/neurosatya/TransLearning/blob/548470542e63f97ab777684c1f5e4f1cace4b8ed/Dataset_Description.pdf" TargetMode="External"/><Relationship Id="rId86" Type="http://schemas.openxmlformats.org/officeDocument/2006/relationships/hyperlink" Target="https://proceedings.mlr.press/v37/schulman15.html" TargetMode="External"/><Relationship Id="rId82" Type="http://schemas.openxmlformats.org/officeDocument/2006/relationships/hyperlink" Target="https://proceedings.mlr.press/v80/li18a.html" TargetMode="External"/><Relationship Id="rId90"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2026-10-27T03:14:44Z</dcterms:created>
  <dcterms:modified xsi:type="dcterms:W3CDTF">2026-10-27T03:14:44Z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